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</w:p>
    <w:p>
      <w:pPr>
        <w:spacing w:after="200"/>
        <w:jc w:val="center"/>
      </w:pPr>
      <w:r>
        <w:rPr>
          <w:b/>
          <w:bCs/>
          <w:color w:val="1F4E79"/>
          <w:sz w:val="56"/>
          <w:szCs w:val="56"/>
        </w:rPr>
        <w:t xml:space="preserve">ODISEA ÁGIL</w:t>
      </w:r>
    </w:p>
    <w:p>
      <w:pPr>
        <w:spacing w:after="400"/>
        <w:jc w:val="center"/>
      </w:pPr>
      <w:r>
        <w:rPr>
          <w:color w:val="666666"/>
          <w:sz w:val="30"/>
          <w:szCs w:val="30"/>
        </w:rPr>
        <w:t xml:space="preserve">Metodologías Ágiles · Nivel 4 · Reto 6</w:t>
      </w:r>
    </w:p>
    <w:p>
      <w:pPr>
        <w:spacing w:after="200"/>
        <w:jc w:val="center"/>
      </w:pPr>
      <w:r>
        <w:rPr>
          <w:b/>
          <w:bCs/>
          <w:sz w:val="34"/>
          <w:szCs w:val="34"/>
        </w:rPr>
        <w:t xml:space="preserve">Decálogo de cultura ágil en el entorno laboral</w:t>
      </w:r>
    </w:p>
    <w:p>
      <w:pPr>
        <w:spacing w:after="2000"/>
        <w:jc w:val="center"/>
      </w:pPr>
      <w:r>
        <w:rPr>
          <w:i/>
          <w:iCs/>
          <w:color w:val="444444"/>
          <w:sz w:val="26"/>
          <w:szCs w:val="26"/>
        </w:rPr>
        <w:t xml:space="preserve">10 acciones concretas para forjar una cultura ágil en un equipo de desarrollo SAP</w:t>
      </w:r>
    </w:p>
    <w:p>
      <w:r>
        <w:br w:type="page"/>
      </w:r>
    </w:p>
    <w:p>
      <w:pPr>
        <w:pStyle w:val="Heading1"/>
        <w:spacing w:after="200" w:before="360"/>
      </w:pPr>
      <w:r>
        <w:rPr>
          <w:b/>
          <w:bCs/>
          <w:color w:val="1F4E79"/>
          <w:sz w:val="30"/>
          <w:szCs w:val="30"/>
        </w:rPr>
        <w:t xml:space="preserve">1. Mi entorno laboral: la tripulación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El decálogo se construye sobre mi entorno laboral real: un equipo de desarrollo SAP (ABAP) que da servicio a varios clientes en proyectos de mantenimiento y evolución de sus sistemas (ECC y S/4HANA). El día a día combina correctivos urgentes (incidencias en producción), evolutivos (nuevos desarrollos a partir de especificaciones funcionales) y proyectos de transformación, con un modelo de trabajo híbrido/remoto en el que conviven desarrolladores, consultores funcionales, y los usuarios clave del cliente.</w:t>
      </w:r>
    </w:p>
    <w:p>
      <w:pPr>
        <w:pStyle w:val="Heading2"/>
        <w:spacing w:after="160" w:before="280"/>
      </w:pPr>
      <w:r>
        <w:rPr>
          <w:b/>
          <w:bCs/>
          <w:color w:val="1F4E79"/>
          <w:sz w:val="25"/>
          <w:szCs w:val="25"/>
        </w:rPr>
        <w:t xml:space="preserve">1.1. Reflexión: áreas de mejora identificadas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Imaginando la organización como una tripulación que navega por mares inciertos, estas son las oportunidades de crecimiento que detecto para estar más alineados con los valores del manifiesto ágil: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Silos entre roles: </w:t>
      </w:r>
      <w:r>
        <w:rPr>
          <w:sz w:val="22"/>
          <w:szCs w:val="22"/>
        </w:rPr>
        <w:t xml:space="preserve">el funcional escribe la especificación, el desarrollador la programa y el usuario la ve al final; hay poca conversación directa y los malentendidos se descubren tarde.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Trabajo invisible: </w:t>
      </w:r>
      <w:r>
        <w:rPr>
          <w:sz w:val="22"/>
          <w:szCs w:val="22"/>
        </w:rPr>
        <w:t xml:space="preserve">cada desarrollador conoce sus tickets, pero nadie tiene una visión global de en qué está el equipo, qué está bloqueado y por qué.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Entregas grandes y tardías: </w:t>
      </w:r>
      <w:r>
        <w:rPr>
          <w:sz w:val="22"/>
          <w:szCs w:val="22"/>
        </w:rPr>
        <w:t xml:space="preserve">los evolutivos se entregan completos al final, y el usuario da feedback cuando cambiar ya es caro.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Prioridades cambiantes sin criterio visible: </w:t>
      </w:r>
      <w:r>
        <w:rPr>
          <w:sz w:val="22"/>
          <w:szCs w:val="22"/>
        </w:rPr>
        <w:t xml:space="preserve">“todo es urgente”, se interrumpe lo que está en curso y se acumula trabajo a medias.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Conocimiento concentrado: </w:t>
      </w:r>
      <w:r>
        <w:rPr>
          <w:sz w:val="22"/>
          <w:szCs w:val="22"/>
        </w:rPr>
        <w:t xml:space="preserve">cada sistema o módulo “pertenece” a una persona; sus vacaciones o su marcha son un riesgo, y las novedades técnicas (CDS, RAP, ABAP Cloud) se aprenden de forma aislada.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Poca retroalimentación interna: </w:t>
      </w:r>
      <w:r>
        <w:rPr>
          <w:sz w:val="22"/>
          <w:szCs w:val="22"/>
        </w:rPr>
        <w:t xml:space="preserve">no hay espacios establecidos para proponer mejoras del propio proceso ni para que todas las voces se escuchen por igual.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c>
          <w:tcPr>
            <w:tcW w:type="dxa" w:w="9000"/>
            <w:shd w:fill="DCE9F5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0" w:line="300"/>
              <w:jc w:val="both"/>
            </w:pPr>
            <w:r>
              <w:rPr>
                <w:b/>
                <w:bCs/>
                <w:color w:val="1F4E79"/>
                <w:sz w:val="23"/>
                <w:szCs w:val="23"/>
              </w:rPr>
              <w:t xml:space="preserve">Objetivo del decálogo: </w:t>
            </w:r>
            <w:r>
              <w:rPr>
                <w:b/>
                <w:bCs/>
                <w:sz w:val="23"/>
                <w:szCs w:val="23"/>
              </w:rPr>
              <w:t xml:space="preserve">convertir estas áreas de mejora en 10 acciones concretas, realistas y que yo misma podría proponer o poner en marcha en el equipo, tocando los cuatro valores del manifiesto ágil y varios de sus doce principios.</w:t>
            </w:r>
          </w:p>
        </w:tc>
      </w:tr>
    </w:tbl>
    <w:p>
      <w:r>
        <w:br w:type="page"/>
      </w:r>
    </w:p>
    <w:p>
      <w:pPr>
        <w:pStyle w:val="Heading1"/>
        <w:spacing w:after="200" w:before="360"/>
      </w:pPr>
      <w:r>
        <w:rPr>
          <w:b/>
          <w:bCs/>
          <w:color w:val="1F4E79"/>
          <w:sz w:val="30"/>
          <w:szCs w:val="30"/>
        </w:rPr>
        <w:t xml:space="preserve">2. El decálogo: 10 acciones concretas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Daily stand-up de 15 minutos (máximo) por videollamada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cada mañana a las 9:15, todo el equipo (desarrolladores y funcionales) responde a tres preguntas: qué hice ayer, qué haré hoy y qué me bloquea. Los bloqueos no se resuelven en la reunión: se anotan y se asigna quién los desatasca ese mismo día.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individuos e interacciones por encima de procesos y herramientas; colaboración diaria y detección temprana de impedimentos.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Tablero Kanban único y visible para todo el flujo de trabajo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un tablero digital compartido (Jira o Trello) con columnas Pendiente / En análisis / En desarrollo / En pruebas / En transporte / Cerrado, donde vive el 100% del trabajo (tickets, evolutivos y tareas internas), con un límite de 2 tareas en curso por persona para terminar antes de empezar cosas nuevas.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transparencia y visibilidad del flujo; ritmo sostenible (limitar el trabajo en curso evita la sobrecarga crónica).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Refinamiento semanal a tres voces: funcional, desarrollo y usuario clave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una sesión semanal de 45 minutos donde las peticiones se convierten en historias con criterios de aceptación claros, conversadas entre quien las pide, quien las diseña y quien las construye, en lugar de especificaciones cerradas que viajan por correo.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colaboración con el cliente por encima de negociación contractual; los responsables de negocio y los desarrolladores trabajan juntos de forma cotidiana.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Trocear los evolutivos en entregas pequeñas cada 2 semanas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todo desarrollo que supere las 2 semanas de esfuerzo se divide en incrementos funcionales transportables por separado (ej.: primero la consulta, luego la edición, luego las validaciones), de modo que el usuario reciba y pruebe valor desde el primer ciclo.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software funcionando por encima de documentación exhaustiva; entrega temprana y continua de valor como medida principal de progreso.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Demo quincenal con los usuarios en el sistema de calidad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cada 2 semanas, 30 minutos de demostración en vivo de lo entregado, donde el usuario lo prueba y su feedback se anota como nuevas historias o ajustes, priorizándose en el siguiente ciclo.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respuesta al cambio por encima de seguir un plan; el feedback continuo corrige el rumbo cuando cambiar aún es barato.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Retrospectiva mensual con compromiso de una mejora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el último viernes de cada mes, 1 hora de retrospectiva del equipo (qué ha ido bien, qué no, qué probamos). De cada sesión sale una única acción de mejora con responsable y fecha, que se revisa al inicio de la siguiente; el registro de mejoras aplicadas es público en el tablero.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mejora continua: a intervalos regulares el equipo reflexiona sobre cómo ser más efectivo y ajusta su comportamiento.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Revisión de código por pares antes de cada transporte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ninguna orden de transporte viaja a producción sin que otra persona del equipo haya revisado el código (checklist breve: estándares ABAP, rendimiento, pruebas). La revisión rota entre todos, de modo que el conocimiento de cada desarrollo deja de pertenecer a una sola persona.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atención continua a la excelencia técnica; responsabilidad compartida del código y reducción del riesgo de personas insustituibles.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“Viernes de aprendizaje”: 1 hora semanal de formación interna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cada viernes, un miembro del equipo comparte durante una hora una práctica o tecnología útil (CDS Views, OData, RAP, ABAP Cloud, debugging avanzado, trucos de S/4HANA). El calendario de sesiones es rotatorio y las grabaciones quedan en una base de conocimiento del equipo.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aprendizaje constante y equipos motivados; la excelencia técnica se cultiva en equipo, no en solitario.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Ronda de voces y buzón de mejora anónimo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en las reuniones de equipo, los últimos 10 minutos son una ronda en la que cada persona habla obligatoriamente una vez (empezando por quienes menos intervienen), y existe un formulario anónimo permanente para proponer mejoras o señalar problemas de proceso, cuyas entradas se revisan en la retrospectiva mensual.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escucha activa y participación: los mejores diseños emergen de equipos donde todas las voces cuentan, no solo las del liderazgo.</w:t>
      </w:r>
    </w:p>
    <w:p>
      <w:pPr>
        <w:spacing w:after="80" w:before="220"/>
      </w:pPr>
      <w:r>
        <w:rPr>
          <w:b/>
          <w:bCs/>
          <w:color w:val="1F4E79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Repriorización quincenal visible con el negocio</w:t>
      </w:r>
    </w:p>
    <w:p>
      <w:pPr>
        <w:spacing w:after="6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Acción concreta: </w:t>
      </w:r>
      <w:r>
        <w:rPr>
          <w:sz w:val="22"/>
          <w:szCs w:val="22"/>
        </w:rPr>
        <w:t xml:space="preserve">cada 2 semanas, una reunión corta con los responsables del cliente para ordenar la cola de peticiones con un criterio público (valor/urgencia). Fuera de esa reunión solo se interrumpe el trabajo en curso por incidencias críticas de producción, protegiendo al equipo del “todo urgente”.</w:t>
      </w:r>
    </w:p>
    <w:p>
      <w:pPr>
        <w:spacing w:after="140" w:line="300"/>
        <w:ind w:left="360"/>
        <w:jc w:val="both"/>
      </w:pPr>
      <w:r>
        <w:rPr>
          <w:b/>
          <w:bCs/>
          <w:i/>
          <w:iCs/>
          <w:sz w:val="22"/>
          <w:szCs w:val="22"/>
        </w:rPr>
        <w:t xml:space="preserve">Valor/principio ágil que fomenta: </w:t>
      </w:r>
      <w:r>
        <w:rPr>
          <w:sz w:val="22"/>
          <w:szCs w:val="22"/>
        </w:rPr>
        <w:t xml:space="preserve">respuesta al cambio de forma ordenada; ritmo sostenible y confianza mutua entre negocio y equipo técnico.</w:t>
      </w:r>
    </w:p>
    <w:p>
      <w:r>
        <w:br w:type="page"/>
      </w:r>
    </w:p>
    <w:p>
      <w:pPr>
        <w:pStyle w:val="Heading1"/>
        <w:spacing w:after="200" w:before="360"/>
      </w:pPr>
      <w:r>
        <w:rPr>
          <w:b/>
          <w:bCs/>
          <w:color w:val="1F4E79"/>
          <w:sz w:val="30"/>
          <w:szCs w:val="30"/>
        </w:rPr>
        <w:t xml:space="preserve">3. Estrategias para adaptarse rápidamente a los cambios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Además de las acciones del decálogo, propongo tres estrategias de fondo para que el equipo responda con rapidez a los cambios del mercado o del entorno: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Ciclos cortos como amortiguador del cambio: </w:t>
      </w:r>
      <w:r>
        <w:rPr>
          <w:sz w:val="22"/>
          <w:szCs w:val="22"/>
        </w:rPr>
        <w:t xml:space="preserve">al trabajar en incrementos de 2 semanas (acciones 4, 5 y 10), cualquier cambio de prioridad del cliente o del mercado se incorpora como muy tarde en el siguiente ciclo, sin dinamitar el trabajo en curso.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Polivalencia técnica planificada: </w:t>
      </w:r>
      <w:r>
        <w:rPr>
          <w:sz w:val="22"/>
          <w:szCs w:val="22"/>
        </w:rPr>
        <w:t xml:space="preserve">la rotación de revisiones (acción 7) y los viernes de aprendizaje (acción 8) construyen un equipo en forma de “T”: cada persona domina su área pero puede cubrir otras, de modo que bajas, picos de demanda o nuevas tecnologías (ABAP Cloud, BTP) no paralizan el servicio.</w:t>
      </w:r>
    </w:p>
    <w:p>
      <w:pPr>
        <w:pStyle w:val="ListParagraph"/>
        <w:numPr>
          <w:ilvl w:val="0"/>
          <w:numId w:val="2"/>
        </w:numPr>
        <w:spacing w:after="100" w:line="300"/>
        <w:jc w:val="both"/>
      </w:pPr>
      <w:r>
        <w:rPr>
          <w:b/>
          <w:bCs/>
          <w:sz w:val="22"/>
          <w:szCs w:val="22"/>
        </w:rPr>
        <w:t xml:space="preserve">Radar tecnológico trimestral: </w:t>
      </w:r>
      <w:r>
        <w:rPr>
          <w:sz w:val="22"/>
          <w:szCs w:val="22"/>
        </w:rPr>
        <w:t xml:space="preserve">una sesión cada trimestre para evaluar novedades del ecosistema SAP y del mercado (¿qué pide el cliente?, ¿qué se está quedando obsoleto?) y decidir qué experimento o formación incorporar, manteniendo la empleabilidad del equipo y la competitividad del servicio.</w:t>
      </w:r>
    </w:p>
    <w:p>
      <w:pPr>
        <w:pStyle w:val="Heading1"/>
        <w:spacing w:after="200" w:before="360"/>
      </w:pPr>
      <w:r>
        <w:rPr>
          <w:b/>
          <w:bCs/>
          <w:color w:val="1F4E79"/>
          <w:sz w:val="30"/>
          <w:szCs w:val="30"/>
        </w:rPr>
        <w:t xml:space="preserve">4. Alineación del decálogo con los valores y principios ágiles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La tabla muestra que las 10 acciones cubren los cuatro valores del manifiesto y varios de sus principios: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400"/>
        <w:gridCol w:w="3200"/>
      </w:tblGrid>
      <w:tr>
        <w:trPr>
          <w:tblHeader/>
        </w:trPr>
        <w:tc>
          <w:tcPr>
            <w:tcW w:type="dxa" w:w="3400"/>
            <w:shd w:fill="DCE9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Acción</w:t>
            </w:r>
          </w:p>
        </w:tc>
        <w:tc>
          <w:tcPr>
            <w:tcW w:type="dxa" w:w="2400"/>
            <w:shd w:fill="DCE9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Valor del manifiesto</w:t>
            </w:r>
          </w:p>
        </w:tc>
        <w:tc>
          <w:tcPr>
            <w:tcW w:type="dxa" w:w="3200"/>
            <w:shd w:fill="DCE9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Principios ágiles relacionados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1. Daily stand-up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Individuos e interacciones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Conversación cara a cara; motivación y confianza</w:t>
            </w:r>
          </w:p>
        </w:tc>
      </w:tr>
      <w:tr>
        <w:tc>
          <w:tcPr>
            <w:tcW w:type="dxa" w:w="3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2. Tablero Kanban con límite WIP</w:t>
            </w:r>
          </w:p>
        </w:tc>
        <w:tc>
          <w:tcPr>
            <w:tcW w:type="dxa" w:w="2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Individuos e interacciones</w:t>
            </w:r>
          </w:p>
        </w:tc>
        <w:tc>
          <w:tcPr>
            <w:tcW w:type="dxa" w:w="32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Transparencia; ritmo sostenible; simplicidad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3. Refinamiento a tres voces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Colaboración con el cliente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Negocio y desarrolladores trabajan juntos a diario</w:t>
            </w:r>
          </w:p>
        </w:tc>
      </w:tr>
      <w:tr>
        <w:tc>
          <w:tcPr>
            <w:tcW w:type="dxa" w:w="3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4. Entregas pequeñas quincenales</w:t>
            </w:r>
          </w:p>
        </w:tc>
        <w:tc>
          <w:tcPr>
            <w:tcW w:type="dxa" w:w="2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Software funcionando</w:t>
            </w:r>
          </w:p>
        </w:tc>
        <w:tc>
          <w:tcPr>
            <w:tcW w:type="dxa" w:w="32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Entrega temprana y continua; software como medida de progreso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5. Demo quincenal con usuarios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Respuesta al cambio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Aceptar cambios de requisitos, incluso tarde</w:t>
            </w:r>
          </w:p>
        </w:tc>
      </w:tr>
      <w:tr>
        <w:tc>
          <w:tcPr>
            <w:tcW w:type="dxa" w:w="3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6. Retrospectiva mensual</w:t>
            </w:r>
          </w:p>
        </w:tc>
        <w:tc>
          <w:tcPr>
            <w:tcW w:type="dxa" w:w="2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Respuesta al cambio</w:t>
            </w:r>
          </w:p>
        </w:tc>
        <w:tc>
          <w:tcPr>
            <w:tcW w:type="dxa" w:w="32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Reflexión y ajuste a intervalos regulares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7. Revisión de código por pares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Software funcionando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Excelencia técnica y buen diseño</w:t>
            </w:r>
          </w:p>
        </w:tc>
      </w:tr>
      <w:tr>
        <w:tc>
          <w:tcPr>
            <w:tcW w:type="dxa" w:w="3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8. Viernes de aprendizaje</w:t>
            </w:r>
          </w:p>
        </w:tc>
        <w:tc>
          <w:tcPr>
            <w:tcW w:type="dxa" w:w="2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Individuos e interacciones</w:t>
            </w:r>
          </w:p>
        </w:tc>
        <w:tc>
          <w:tcPr>
            <w:tcW w:type="dxa" w:w="32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Equipos motivados; excelencia continua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9. Ronda de voces y buzón anónimo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Individuos e interacciones</w:t>
            </w:r>
          </w:p>
        </w:tc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Autoorganización; entorno de confianza</w:t>
            </w:r>
          </w:p>
        </w:tc>
      </w:tr>
      <w:tr>
        <w:tc>
          <w:tcPr>
            <w:tcW w:type="dxa" w:w="3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10. Repriorización quincenal</w:t>
            </w:r>
          </w:p>
        </w:tc>
        <w:tc>
          <w:tcPr>
            <w:tcW w:type="dxa" w:w="24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Colaboración con el cliente</w:t>
            </w:r>
          </w:p>
        </w:tc>
        <w:tc>
          <w:tcPr>
            <w:tcW w:type="dxa" w:w="3200"/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Respuesta al cambio; ritmo sostenible</w:t>
            </w:r>
          </w:p>
        </w:tc>
      </w:tr>
    </w:tbl>
    <w:p>
      <w:pPr>
        <w:pStyle w:val="Heading1"/>
        <w:spacing w:after="200" w:before="360"/>
      </w:pPr>
      <w:r>
        <w:rPr>
          <w:b/>
          <w:bCs/>
          <w:color w:val="1F4E79"/>
          <w:sz w:val="30"/>
          <w:szCs w:val="30"/>
        </w:rPr>
        <w:t xml:space="preserve">5. Reflexiones y conclusiones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Al elaborar este decálogo he comprobado que forjar una cultura ágil no exige grandes transformaciones ni herramientas caras: exige constancia en prácticas pequeñas y concretas. Las diez acciones propuestas son iniciativas que yo misma podría proponer en mi equipo, la mayoría con coste cero, y atacan directamente las áreas de mejora detectadas: los silos se disuelven con conversación diaria y refinamiento a tres voces; la invisibilidad del trabajo, con el tablero compartido; las entregas tardías, con incrementos quincenales y demos; el conocimiento concentrado, con revisiones por pares y aprendizaje semanal; y el silencio interno, con retrospectivas y rondas de voces.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La conclusión más importante de esta reflexión es que la agilidad es ante todo una cultura, no un conjunto de ceremonias: cada acción del decálogo solo funcionará si detrás hay confianza, transparencia y voluntad de mejorar de forma continua. Como Ulises, la tripulación no controla el mar (los cambios del cliente, del mercado o de la tecnología), pero sí puede elegir cómo navegar: con un rumbo visible, ciclos cortos para corregirlo y una tripulación que aprende junta en cada travesía.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2026-08-05T08:28:40.896Z</dcterms:created>
  <dcterms:modified xsi:type="dcterms:W3CDTF">2026-08-05T08:28:40.896Z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