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200"/>
        <w:jc w:val="center"/>
      </w:pPr>
      <w:r>
        <w:rPr>
          <w:b/>
          <w:bCs/>
          <w:color w:val="1F4E79"/>
          <w:sz w:val="56"/>
          <w:szCs w:val="56"/>
        </w:rPr>
        <w:t xml:space="preserve">ODISEA ÁGIL</w:t>
      </w:r>
    </w:p>
    <w:p>
      <w:pPr>
        <w:spacing w:after="400"/>
        <w:jc w:val="center"/>
      </w:pPr>
      <w:r>
        <w:rPr>
          <w:color w:val="666666"/>
          <w:sz w:val="30"/>
          <w:szCs w:val="30"/>
        </w:rPr>
        <w:t xml:space="preserve">Metodologías Ágiles · Nivel 3 · Reto 5</w:t>
      </w:r>
    </w:p>
    <w:p>
      <w:pPr>
        <w:spacing w:after="200"/>
        <w:jc w:val="center"/>
      </w:pPr>
      <w:r>
        <w:rPr>
          <w:b/>
          <w:bCs/>
          <w:sz w:val="34"/>
          <w:szCs w:val="34"/>
        </w:rPr>
        <w:t xml:space="preserve">El Oráculo de ITIL</w:t>
      </w:r>
    </w:p>
    <w:p>
      <w:pPr>
        <w:spacing w:after="300"/>
        <w:jc w:val="center"/>
      </w:pPr>
      <w:r>
        <w:rPr>
          <w:color w:val="444444"/>
          <w:sz w:val="28"/>
          <w:szCs w:val="28"/>
        </w:rPr>
        <w:t xml:space="preserve">Navegando los Mares de la Gestión de Servicios</w:t>
      </w:r>
    </w:p>
    <w:p>
      <w:pPr>
        <w:spacing w:after="2000"/>
        <w:jc w:val="center"/>
      </w:pPr>
      <w:r>
        <w:rPr>
          <w:i/>
          <w:iCs/>
          <w:color w:val="444444"/>
          <w:sz w:val="26"/>
          <w:szCs w:val="26"/>
        </w:rPr>
        <w:t xml:space="preserve">Presentación al Oráculo: diagnóstico y plan de acción ITIL para la Isla del Caos</w:t>
      </w:r>
    </w:p>
    <w:p>
      <w:r>
        <w:br w:type="page"/>
      </w:r>
    </w:p>
    <w:p>
      <w:pPr>
        <w:pStyle w:val="Heading1"/>
        <w:spacing w:after="200" w:before="360"/>
      </w:pPr>
      <w:r>
        <w:rPr>
          <w:b/>
          <w:bCs/>
          <w:color w:val="1F4E79"/>
          <w:sz w:val="30"/>
          <w:szCs w:val="30"/>
        </w:rPr>
        <w:t xml:space="preserve">1. Apertura: propósito de esta presentación</w:t>
      </w:r>
    </w:p>
    <w:p>
      <w:pPr>
        <w:spacing w:after="160" w:line="300"/>
        <w:jc w:val="both"/>
      </w:pPr>
      <w:r>
        <w:rPr>
          <w:sz w:val="22"/>
          <w:szCs w:val="22"/>
        </w:rPr>
        <w:t xml:space="preserve">Oh, Oráculo de ITIL: la tripulación de Ulises comparece ante ti como consultora de la Isla del Caos. La isla posee ricos recursos tecnológicos y una población talentosa, pero años de crecimiento rápido sin estructura han sumido su gestión de servicios de TI en el desorden. Esta presentación contiene, primero, un diagnóstico de la situación actual según el marco de ITIL y, después, un plan de acción detallado por cada fase del ciclo de vida del servicio, con las herramientas necesarias, una hoja de ruta de implantación y los beneficios que devolverán la estabilidad y la prosperidad a la isla.</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shd w:fill="DCE9F5" w:val="clear"/>
            <w:tcMar>
              <w:top w:type="dxa" w:w="140"/>
              <w:left w:type="dxa" w:w="160"/>
              <w:bottom w:type="dxa" w:w="140"/>
              <w:right w:type="dxa" w:w="160"/>
            </w:tcMar>
          </w:tcPr>
          <w:p>
            <w:pPr>
              <w:spacing w:after="0" w:line="300"/>
              <w:jc w:val="both"/>
            </w:pPr>
            <w:r>
              <w:rPr>
                <w:b/>
                <w:bCs/>
                <w:color w:val="1F4E79"/>
                <w:sz w:val="23"/>
                <w:szCs w:val="23"/>
              </w:rPr>
              <w:t xml:space="preserve">Tesis de la presentación: </w:t>
            </w:r>
            <w:r>
              <w:rPr>
                <w:b/>
                <w:bCs/>
                <w:sz w:val="23"/>
                <w:szCs w:val="23"/>
              </w:rPr>
              <w:t xml:space="preserve">el problema de la Isla del Caos no es su tecnología ni su talento, sino la ausencia de procesos: adoptando el ciclo de vida de ITIL (Estrategia, Diseño, Transición, Operación y Mejora Continua) el caos se convierte en un servicio predecible, medible y en mejora constante.</w:t>
            </w:r>
          </w:p>
        </w:tc>
      </w:tr>
    </w:tbl>
    <w:p>
      <w:pPr>
        <w:pStyle w:val="Heading1"/>
        <w:spacing w:after="200" w:before="360"/>
      </w:pPr>
      <w:r>
        <w:rPr>
          <w:b/>
          <w:bCs/>
          <w:color w:val="1F4E79"/>
          <w:sz w:val="30"/>
          <w:szCs w:val="30"/>
        </w:rPr>
        <w:t xml:space="preserve">2. Análisis de la gestión actual (diagnóstico ITIL)</w:t>
      </w:r>
    </w:p>
    <w:p>
      <w:pPr>
        <w:spacing w:after="160" w:line="300"/>
        <w:jc w:val="both"/>
      </w:pPr>
      <w:r>
        <w:rPr>
          <w:sz w:val="22"/>
          <w:szCs w:val="22"/>
        </w:rPr>
        <w:t xml:space="preserve">Los cinco desafíos que sufre la isla no son males aislados: cada uno revela la ausencia o el fallo de procesos concretos del ciclo de vida ITIL. El siguiente mapa de diagnóstico los relaciona:</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4000"/>
      </w:tblGrid>
      <w:tr>
        <w:trPr>
          <w:tblHeader/>
        </w:trPr>
        <w:tc>
          <w:tcPr>
            <w:tcW w:type="dxa" w:w="2500"/>
            <w:shd w:fill="DCE9F5" w:val="clear"/>
            <w:tcMar>
              <w:top w:type="dxa" w:w="80"/>
              <w:left w:type="dxa" w:w="120"/>
              <w:bottom w:type="dxa" w:w="80"/>
              <w:right w:type="dxa" w:w="120"/>
            </w:tcMar>
          </w:tcPr>
          <w:p>
            <w:pPr>
              <w:spacing w:after="0"/>
              <w:jc w:val="center"/>
            </w:pPr>
            <w:r>
              <w:rPr>
                <w:b/>
                <w:bCs/>
                <w:sz w:val="20"/>
                <w:szCs w:val="20"/>
              </w:rPr>
              <w:t xml:space="preserve">Desafío observado</w:t>
            </w:r>
          </w:p>
        </w:tc>
        <w:tc>
          <w:tcPr>
            <w:tcW w:type="dxa" w:w="2500"/>
            <w:shd w:fill="DCE9F5" w:val="clear"/>
            <w:tcMar>
              <w:top w:type="dxa" w:w="80"/>
              <w:left w:type="dxa" w:w="120"/>
              <w:bottom w:type="dxa" w:w="80"/>
              <w:right w:type="dxa" w:w="120"/>
            </w:tcMar>
          </w:tcPr>
          <w:p>
            <w:pPr>
              <w:spacing w:after="0"/>
              <w:jc w:val="center"/>
            </w:pPr>
            <w:r>
              <w:rPr>
                <w:b/>
                <w:bCs/>
                <w:sz w:val="20"/>
                <w:szCs w:val="20"/>
              </w:rPr>
              <w:t xml:space="preserve">Fase ITIL afectada</w:t>
            </w:r>
          </w:p>
        </w:tc>
        <w:tc>
          <w:tcPr>
            <w:tcW w:type="dxa" w:w="4000"/>
            <w:shd w:fill="DCE9F5" w:val="clear"/>
            <w:tcMar>
              <w:top w:type="dxa" w:w="80"/>
              <w:left w:type="dxa" w:w="120"/>
              <w:bottom w:type="dxa" w:w="80"/>
              <w:right w:type="dxa" w:w="120"/>
            </w:tcMar>
          </w:tcPr>
          <w:p>
            <w:pPr>
              <w:spacing w:after="0"/>
              <w:jc w:val="center"/>
            </w:pPr>
            <w:r>
              <w:rPr>
                <w:b/>
                <w:bCs/>
                <w:sz w:val="20"/>
                <w:szCs w:val="20"/>
              </w:rPr>
              <w:t xml:space="preserve">Fallo de proceso identificado</w:t>
            </w:r>
          </w:p>
        </w:tc>
      </w:tr>
      <w:tr>
        <w:tc>
          <w:tcPr>
            <w:tcW w:type="dxa" w:w="2500"/>
            <w:tcMar>
              <w:top w:type="dxa" w:w="80"/>
              <w:left w:type="dxa" w:w="120"/>
              <w:bottom w:type="dxa" w:w="80"/>
              <w:right w:type="dxa" w:w="120"/>
            </w:tcMar>
          </w:tcPr>
          <w:p>
            <w:pPr>
              <w:spacing w:after="0"/>
              <w:jc w:val="left"/>
            </w:pPr>
            <w:r>
              <w:rPr>
                <w:b w:val="false"/>
                <w:bCs w:val="false"/>
                <w:sz w:val="20"/>
                <w:szCs w:val="20"/>
              </w:rPr>
              <w:t xml:space="preserve">Incidentes de TI constantes con tiempos de resolución impredecibles</w:t>
            </w:r>
          </w:p>
        </w:tc>
        <w:tc>
          <w:tcPr>
            <w:tcW w:type="dxa" w:w="2500"/>
            <w:tcMar>
              <w:top w:type="dxa" w:w="80"/>
              <w:left w:type="dxa" w:w="120"/>
              <w:bottom w:type="dxa" w:w="80"/>
              <w:right w:type="dxa" w:w="120"/>
            </w:tcMar>
          </w:tcPr>
          <w:p>
            <w:pPr>
              <w:spacing w:after="0"/>
              <w:jc w:val="left"/>
            </w:pPr>
            <w:r>
              <w:rPr>
                <w:b w:val="false"/>
                <w:bCs w:val="false"/>
                <w:sz w:val="20"/>
                <w:szCs w:val="20"/>
              </w:rPr>
              <w:t xml:space="preserve">Operación del Servicio</w:t>
            </w:r>
          </w:p>
        </w:tc>
        <w:tc>
          <w:tcPr>
            <w:tcW w:type="dxa" w:w="4000"/>
            <w:tcMar>
              <w:top w:type="dxa" w:w="80"/>
              <w:left w:type="dxa" w:w="120"/>
              <w:bottom w:type="dxa" w:w="80"/>
              <w:right w:type="dxa" w:w="120"/>
            </w:tcMar>
          </w:tcPr>
          <w:p>
            <w:pPr>
              <w:spacing w:after="0"/>
              <w:jc w:val="left"/>
            </w:pPr>
            <w:r>
              <w:rPr>
                <w:b w:val="false"/>
                <w:bCs w:val="false"/>
                <w:sz w:val="20"/>
                <w:szCs w:val="20"/>
              </w:rPr>
              <w:t xml:space="preserve">No existe gestión de incidentes: sin punto único de contacto, sin priorización ni escalado, cada incidente se resuelve de forma improvisada. Tampoco hay gestión de problemas que ataque las causas raíz, por lo que los incidentes se repiten</w:t>
            </w:r>
          </w:p>
        </w:tc>
      </w:tr>
      <w:tr>
        <w:tc>
          <w:tcPr>
            <w:tcW w:type="dxa" w:w="2500"/>
            <w:shd w:fill="F2F2F2" w:val="clear"/>
            <w:tcMar>
              <w:top w:type="dxa" w:w="80"/>
              <w:left w:type="dxa" w:w="120"/>
              <w:bottom w:type="dxa" w:w="80"/>
              <w:right w:type="dxa" w:w="120"/>
            </w:tcMar>
          </w:tcPr>
          <w:p>
            <w:pPr>
              <w:spacing w:after="0"/>
              <w:jc w:val="left"/>
            </w:pPr>
            <w:r>
              <w:rPr>
                <w:b w:val="false"/>
                <w:bCs w:val="false"/>
                <w:sz w:val="20"/>
                <w:szCs w:val="20"/>
              </w:rPr>
              <w:t xml:space="preserve">Cambios catastróficos sin evaluación de riesgo</w:t>
            </w:r>
          </w:p>
        </w:tc>
        <w:tc>
          <w:tcPr>
            <w:tcW w:type="dxa" w:w="2500"/>
            <w:shd w:fill="F2F2F2" w:val="clear"/>
            <w:tcMar>
              <w:top w:type="dxa" w:w="80"/>
              <w:left w:type="dxa" w:w="120"/>
              <w:bottom w:type="dxa" w:w="80"/>
              <w:right w:type="dxa" w:w="120"/>
            </w:tcMar>
          </w:tcPr>
          <w:p>
            <w:pPr>
              <w:spacing w:after="0"/>
              <w:jc w:val="left"/>
            </w:pPr>
            <w:r>
              <w:rPr>
                <w:b w:val="false"/>
                <w:bCs w:val="false"/>
                <w:sz w:val="20"/>
                <w:szCs w:val="20"/>
              </w:rPr>
              <w:t xml:space="preserve">Transición del Servicio</w:t>
            </w:r>
          </w:p>
        </w:tc>
        <w:tc>
          <w:tcPr>
            <w:tcW w:type="dxa" w:w="4000"/>
            <w:shd w:fill="F2F2F2" w:val="clear"/>
            <w:tcMar>
              <w:top w:type="dxa" w:w="80"/>
              <w:left w:type="dxa" w:w="120"/>
              <w:bottom w:type="dxa" w:w="80"/>
              <w:right w:type="dxa" w:w="120"/>
            </w:tcMar>
          </w:tcPr>
          <w:p>
            <w:pPr>
              <w:spacing w:after="0"/>
              <w:jc w:val="left"/>
            </w:pPr>
            <w:r>
              <w:rPr>
                <w:b w:val="false"/>
                <w:bCs w:val="false"/>
                <w:sz w:val="20"/>
                <w:szCs w:val="20"/>
              </w:rPr>
              <w:t xml:space="preserve">No hay gestión de cambios: cualquiera modifica los sistemas sin evaluación, aprobación, prueba ni plan de marcha atrás. Sin gestión de la configuración (CMDB), nadie conoce el impacto de un cambio sobre el resto de servicios</w:t>
            </w:r>
          </w:p>
        </w:tc>
      </w:tr>
      <w:tr>
        <w:tc>
          <w:tcPr>
            <w:tcW w:type="dxa" w:w="2500"/>
            <w:tcMar>
              <w:top w:type="dxa" w:w="80"/>
              <w:left w:type="dxa" w:w="120"/>
              <w:bottom w:type="dxa" w:w="80"/>
              <w:right w:type="dxa" w:w="120"/>
            </w:tcMar>
          </w:tcPr>
          <w:p>
            <w:pPr>
              <w:spacing w:after="0"/>
              <w:jc w:val="left"/>
            </w:pPr>
            <w:r>
              <w:rPr>
                <w:b w:val="false"/>
                <w:bCs w:val="false"/>
                <w:sz w:val="20"/>
                <w:szCs w:val="20"/>
              </w:rPr>
              <w:t xml:space="preserve">Recursos de TI sobrecargados y sin planificación de capacidad</w:t>
            </w:r>
          </w:p>
        </w:tc>
        <w:tc>
          <w:tcPr>
            <w:tcW w:type="dxa" w:w="2500"/>
            <w:tcMar>
              <w:top w:type="dxa" w:w="80"/>
              <w:left w:type="dxa" w:w="120"/>
              <w:bottom w:type="dxa" w:w="80"/>
              <w:right w:type="dxa" w:w="120"/>
            </w:tcMar>
          </w:tcPr>
          <w:p>
            <w:pPr>
              <w:spacing w:after="0"/>
              <w:jc w:val="left"/>
            </w:pPr>
            <w:r>
              <w:rPr>
                <w:b w:val="false"/>
                <w:bCs w:val="false"/>
                <w:sz w:val="20"/>
                <w:szCs w:val="20"/>
              </w:rPr>
              <w:t xml:space="preserve">Diseño del Servicio</w:t>
            </w:r>
          </w:p>
        </w:tc>
        <w:tc>
          <w:tcPr>
            <w:tcW w:type="dxa" w:w="4000"/>
            <w:tcMar>
              <w:top w:type="dxa" w:w="80"/>
              <w:left w:type="dxa" w:w="120"/>
              <w:bottom w:type="dxa" w:w="80"/>
              <w:right w:type="dxa" w:w="120"/>
            </w:tcMar>
          </w:tcPr>
          <w:p>
            <w:pPr>
              <w:spacing w:after="0"/>
              <w:jc w:val="left"/>
            </w:pPr>
            <w:r>
              <w:rPr>
                <w:b w:val="false"/>
                <w:bCs w:val="false"/>
                <w:sz w:val="20"/>
                <w:szCs w:val="20"/>
              </w:rPr>
              <w:t xml:space="preserve">La gestión de la capacidad y de la disponibilidad es inexistente: los servicios se diseñan (si se diseñan) sin dimensionar la demanda, sin niveles de servicio acordados (SLA) y sin considerar requisitos futuros</w:t>
            </w:r>
          </w:p>
        </w:tc>
      </w:tr>
      <w:tr>
        <w:tc>
          <w:tcPr>
            <w:tcW w:type="dxa" w:w="2500"/>
            <w:shd w:fill="F2F2F2" w:val="clear"/>
            <w:tcMar>
              <w:top w:type="dxa" w:w="80"/>
              <w:left w:type="dxa" w:w="120"/>
              <w:bottom w:type="dxa" w:w="80"/>
              <w:right w:type="dxa" w:w="120"/>
            </w:tcMar>
          </w:tcPr>
          <w:p>
            <w:pPr>
              <w:spacing w:after="0"/>
              <w:jc w:val="left"/>
            </w:pPr>
            <w:r>
              <w:rPr>
                <w:b w:val="false"/>
                <w:bCs w:val="false"/>
                <w:sz w:val="20"/>
                <w:szCs w:val="20"/>
              </w:rPr>
              <w:t xml:space="preserve">Satisfacción del cliente en decadencia y pérdida de confianza</w:t>
            </w:r>
          </w:p>
        </w:tc>
        <w:tc>
          <w:tcPr>
            <w:tcW w:type="dxa" w:w="2500"/>
            <w:shd w:fill="F2F2F2" w:val="clear"/>
            <w:tcMar>
              <w:top w:type="dxa" w:w="80"/>
              <w:left w:type="dxa" w:w="120"/>
              <w:bottom w:type="dxa" w:w="80"/>
              <w:right w:type="dxa" w:w="120"/>
            </w:tcMar>
          </w:tcPr>
          <w:p>
            <w:pPr>
              <w:spacing w:after="0"/>
              <w:jc w:val="left"/>
            </w:pPr>
            <w:r>
              <w:rPr>
                <w:b w:val="false"/>
                <w:bCs w:val="false"/>
                <w:sz w:val="20"/>
                <w:szCs w:val="20"/>
              </w:rPr>
              <w:t xml:space="preserve">Estrategia del Servicio y Mejora Continua</w:t>
            </w:r>
          </w:p>
        </w:tc>
        <w:tc>
          <w:tcPr>
            <w:tcW w:type="dxa" w:w="4000"/>
            <w:shd w:fill="F2F2F2" w:val="clear"/>
            <w:tcMar>
              <w:top w:type="dxa" w:w="80"/>
              <w:left w:type="dxa" w:w="120"/>
              <w:bottom w:type="dxa" w:w="80"/>
              <w:right w:type="dxa" w:w="120"/>
            </w:tcMar>
          </w:tcPr>
          <w:p>
            <w:pPr>
              <w:spacing w:after="0"/>
              <w:jc w:val="left"/>
            </w:pPr>
            <w:r>
              <w:rPr>
                <w:b w:val="false"/>
                <w:bCs w:val="false"/>
                <w:sz w:val="20"/>
                <w:szCs w:val="20"/>
              </w:rPr>
              <w:t xml:space="preserve">TI no está alineada con las necesidades del negocio de la isla: no se sabe qué servicios aportan más valor ni a quién sirven. No se mide la satisfacción ni la calidad, así que el deterioro ni siquiera se detecta hasta que el usuario protesta</w:t>
            </w:r>
          </w:p>
        </w:tc>
      </w:tr>
      <w:tr>
        <w:tc>
          <w:tcPr>
            <w:tcW w:type="dxa" w:w="2500"/>
            <w:tcMar>
              <w:top w:type="dxa" w:w="80"/>
              <w:left w:type="dxa" w:w="120"/>
              <w:bottom w:type="dxa" w:w="80"/>
              <w:right w:type="dxa" w:w="120"/>
            </w:tcMar>
          </w:tcPr>
          <w:p>
            <w:pPr>
              <w:spacing w:after="0"/>
              <w:jc w:val="left"/>
            </w:pPr>
            <w:r>
              <w:rPr>
                <w:b w:val="false"/>
                <w:bCs w:val="false"/>
                <w:sz w:val="20"/>
                <w:szCs w:val="20"/>
              </w:rPr>
              <w:t xml:space="preserve">Falta de documentación y de procedimientos estándar</w:t>
            </w:r>
          </w:p>
        </w:tc>
        <w:tc>
          <w:tcPr>
            <w:tcW w:type="dxa" w:w="2500"/>
            <w:tcMar>
              <w:top w:type="dxa" w:w="80"/>
              <w:left w:type="dxa" w:w="120"/>
              <w:bottom w:type="dxa" w:w="80"/>
              <w:right w:type="dxa" w:w="120"/>
            </w:tcMar>
          </w:tcPr>
          <w:p>
            <w:pPr>
              <w:spacing w:after="0"/>
              <w:jc w:val="left"/>
            </w:pPr>
            <w:r>
              <w:rPr>
                <w:b w:val="false"/>
                <w:bCs w:val="false"/>
                <w:sz w:val="20"/>
                <w:szCs w:val="20"/>
              </w:rPr>
              <w:t xml:space="preserve">Transversal (todas las fases)</w:t>
            </w:r>
          </w:p>
        </w:tc>
        <w:tc>
          <w:tcPr>
            <w:tcW w:type="dxa" w:w="4000"/>
            <w:tcMar>
              <w:top w:type="dxa" w:w="80"/>
              <w:left w:type="dxa" w:w="120"/>
              <w:bottom w:type="dxa" w:w="80"/>
              <w:right w:type="dxa" w:w="120"/>
            </w:tcMar>
          </w:tcPr>
          <w:p>
            <w:pPr>
              <w:spacing w:after="0"/>
              <w:jc w:val="left"/>
            </w:pPr>
            <w:r>
              <w:rPr>
                <w:b w:val="false"/>
                <w:bCs w:val="false"/>
                <w:sz w:val="20"/>
                <w:szCs w:val="20"/>
              </w:rPr>
              <w:t xml:space="preserve">Sin registro organizado de incidentes, sin catálogo de servicios, sin procedimientos documentados: el conocimiento vive en la cabeza de las personas, se pierde con ellas y hace imposible la mejora, la formación y la medición</w:t>
            </w:r>
          </w:p>
        </w:tc>
      </w:tr>
    </w:tbl>
    <w:p>
      <w:pPr>
        <w:spacing w:after="160" w:before="160" w:line="300"/>
        <w:jc w:val="both"/>
      </w:pPr>
      <w:r>
        <w:rPr>
          <w:sz w:val="22"/>
          <w:szCs w:val="22"/>
        </w:rPr>
        <w:t xml:space="preserve">Conclusión del diagnóstico: la isla opera en modo reactivo puro. Todas las energías se consumen en apagar fuegos (incidentes) provocados en gran parte por su propia falta de control (cambios sin evaluar, capacidad sin planificar), sin datos para aprender ni procesos para mejorar. El plan de acción debe intervenir en las cinco fases del ciclo de vida a la vez que entrega resultados visibles pronto para recuperar la confianza de los usuarios.</w:t>
      </w:r>
    </w:p>
    <w:p>
      <w:r>
        <w:br w:type="page"/>
      </w:r>
    </w:p>
    <w:p>
      <w:pPr>
        <w:pStyle w:val="Heading1"/>
        <w:spacing w:after="200" w:before="360"/>
      </w:pPr>
      <w:r>
        <w:rPr>
          <w:b/>
          <w:bCs/>
          <w:color w:val="1F4E79"/>
          <w:sz w:val="30"/>
          <w:szCs w:val="30"/>
        </w:rPr>
        <w:t xml:space="preserve">3. Plan de acción detallado por fases ITIL</w:t>
      </w:r>
    </w:p>
    <w:p>
      <w:pPr>
        <w:pStyle w:val="Heading2"/>
        <w:spacing w:after="160" w:before="280"/>
      </w:pPr>
      <w:r>
        <w:rPr>
          <w:b/>
          <w:bCs/>
          <w:color w:val="1F4E79"/>
          <w:sz w:val="25"/>
          <w:szCs w:val="25"/>
        </w:rPr>
        <w:t xml:space="preserve">3.1. Estrategia del Servicio: alinear TI con el negocio de la isla</w:t>
      </w:r>
    </w:p>
    <w:p>
      <w:pPr>
        <w:pStyle w:val="ListParagraph"/>
        <w:numPr>
          <w:ilvl w:val="0"/>
          <w:numId w:val="2"/>
        </w:numPr>
        <w:spacing w:after="100" w:line="300"/>
        <w:jc w:val="both"/>
      </w:pPr>
      <w:r>
        <w:rPr>
          <w:b/>
          <w:bCs/>
          <w:sz w:val="22"/>
          <w:szCs w:val="22"/>
        </w:rPr>
        <w:t xml:space="preserve">Identificar el negocio de la isla y sus prioridades: </w:t>
      </w:r>
      <w:r>
        <w:rPr>
          <w:sz w:val="22"/>
          <w:szCs w:val="22"/>
        </w:rPr>
        <w:t xml:space="preserve">junto con los gobernantes, inventariar las actividades críticas (comercio del puerto, astilleros, comunicaciones, mercado) y qué esperan de TI. Ningún servicio se justifica si no sostiene una necesidad real de la isla.</w:t>
      </w:r>
    </w:p>
    <w:p>
      <w:pPr>
        <w:pStyle w:val="ListParagraph"/>
        <w:numPr>
          <w:ilvl w:val="0"/>
          <w:numId w:val="2"/>
        </w:numPr>
        <w:spacing w:after="100" w:line="300"/>
        <w:jc w:val="both"/>
      </w:pPr>
      <w:r>
        <w:rPr>
          <w:b/>
          <w:bCs/>
          <w:sz w:val="22"/>
          <w:szCs w:val="22"/>
        </w:rPr>
        <w:t xml:space="preserve">Crear un portafolio de servicios: </w:t>
      </w:r>
      <w:r>
        <w:rPr>
          <w:sz w:val="22"/>
          <w:szCs w:val="22"/>
        </w:rPr>
        <w:t xml:space="preserve">lista única de todos los servicios de TI existentes, en desarrollo y retirados, con su valor para el negocio, su coste y su propietario. Permite decidir con criterio dónde invertir y qué servicios retirar.</w:t>
      </w:r>
    </w:p>
    <w:p>
      <w:pPr>
        <w:pStyle w:val="ListParagraph"/>
        <w:numPr>
          <w:ilvl w:val="0"/>
          <w:numId w:val="2"/>
        </w:numPr>
        <w:spacing w:after="100" w:line="300"/>
        <w:jc w:val="both"/>
      </w:pPr>
      <w:r>
        <w:rPr>
          <w:b/>
          <w:bCs/>
          <w:sz w:val="22"/>
          <w:szCs w:val="22"/>
        </w:rPr>
        <w:t xml:space="preserve">Definir la gestión de la demanda y del presupuesto: </w:t>
      </w:r>
      <w:r>
        <w:rPr>
          <w:sz w:val="22"/>
          <w:szCs w:val="22"/>
        </w:rPr>
        <w:t xml:space="preserve">analizar patrones de actividad (ej. picos del mercado semanal) para anticipar demanda, y asignar presupuesto por servicio en función de su valor, no por inercia.</w:t>
      </w:r>
    </w:p>
    <w:p>
      <w:pPr>
        <w:pStyle w:val="ListParagraph"/>
        <w:numPr>
          <w:ilvl w:val="0"/>
          <w:numId w:val="2"/>
        </w:numPr>
        <w:spacing w:after="100" w:line="300"/>
        <w:jc w:val="both"/>
      </w:pPr>
      <w:r>
        <w:rPr>
          <w:b/>
          <w:bCs/>
          <w:sz w:val="22"/>
          <w:szCs w:val="22"/>
        </w:rPr>
        <w:t xml:space="preserve">Nombrar propietarios de servicio: </w:t>
      </w:r>
      <w:r>
        <w:rPr>
          <w:sz w:val="22"/>
          <w:szCs w:val="22"/>
        </w:rPr>
        <w:t xml:space="preserve">cada servicio tendrá un responsable único ante el negocio, terminando con el “esto no es de nadie” que alimenta el caos.</w:t>
      </w:r>
    </w:p>
    <w:p>
      <w:pPr>
        <w:pStyle w:val="Heading2"/>
        <w:spacing w:after="160" w:before="280"/>
      </w:pPr>
      <w:r>
        <w:rPr>
          <w:b/>
          <w:bCs/>
          <w:color w:val="1F4E79"/>
          <w:sz w:val="25"/>
          <w:szCs w:val="25"/>
        </w:rPr>
        <w:t xml:space="preserve">3.2. Diseño del Servicio: construir servicios pensados para la isla</w:t>
      </w:r>
    </w:p>
    <w:p>
      <w:pPr>
        <w:pStyle w:val="ListParagraph"/>
        <w:numPr>
          <w:ilvl w:val="0"/>
          <w:numId w:val="2"/>
        </w:numPr>
        <w:spacing w:after="100" w:line="300"/>
        <w:jc w:val="both"/>
      </w:pPr>
      <w:r>
        <w:rPr>
          <w:b/>
          <w:bCs/>
          <w:sz w:val="22"/>
          <w:szCs w:val="22"/>
        </w:rPr>
        <w:t xml:space="preserve">Desarrollar el catálogo de servicios: </w:t>
      </w:r>
      <w:r>
        <w:rPr>
          <w:sz w:val="22"/>
          <w:szCs w:val="22"/>
        </w:rPr>
        <w:t xml:space="preserve">versión visible del portafolio para los usuarios: qué servicios existen, qué incluyen, cómo se solicitan, en qué horario se prestan y con qué compromiso. Es la primera pieza de documentación estándar de la isla.</w:t>
      </w:r>
    </w:p>
    <w:p>
      <w:pPr>
        <w:pStyle w:val="ListParagraph"/>
        <w:numPr>
          <w:ilvl w:val="0"/>
          <w:numId w:val="2"/>
        </w:numPr>
        <w:spacing w:after="100" w:line="300"/>
        <w:jc w:val="both"/>
      </w:pPr>
      <w:r>
        <w:rPr>
          <w:b/>
          <w:bCs/>
          <w:sz w:val="22"/>
          <w:szCs w:val="22"/>
        </w:rPr>
        <w:t xml:space="preserve">Acordar niveles de servicio (SLA): </w:t>
      </w:r>
      <w:r>
        <w:rPr>
          <w:sz w:val="22"/>
          <w:szCs w:val="22"/>
        </w:rPr>
        <w:t xml:space="preserve">para cada servicio del catálogo, pactar con el negocio objetivos medibles (ej.: disponibilidad del 99% del sistema del puerto; resolución de incidentes críticos en menos de 4 horas). Los SLA convierten la “calidad” en algo verificable, apoyados en OLA internos entre equipos.</w:t>
      </w:r>
    </w:p>
    <w:p>
      <w:pPr>
        <w:pStyle w:val="ListParagraph"/>
        <w:numPr>
          <w:ilvl w:val="0"/>
          <w:numId w:val="2"/>
        </w:numPr>
        <w:spacing w:after="100" w:line="300"/>
        <w:jc w:val="both"/>
      </w:pPr>
      <w:r>
        <w:rPr>
          <w:b/>
          <w:bCs/>
          <w:sz w:val="22"/>
          <w:szCs w:val="22"/>
        </w:rPr>
        <w:t xml:space="preserve">Implantar la gestión de la capacidad: </w:t>
      </w:r>
      <w:r>
        <w:rPr>
          <w:sz w:val="22"/>
          <w:szCs w:val="22"/>
        </w:rPr>
        <w:t xml:space="preserve">monitorizar el uso real de los recursos (servidores, red, personas), proyectar el crecimiento y planificar ampliaciones antes de la saturación. Ataca directamente la sobrecarga crónica de recursos.</w:t>
      </w:r>
    </w:p>
    <w:p>
      <w:pPr>
        <w:pStyle w:val="ListParagraph"/>
        <w:numPr>
          <w:ilvl w:val="0"/>
          <w:numId w:val="2"/>
        </w:numPr>
        <w:spacing w:after="100" w:line="300"/>
        <w:jc w:val="both"/>
      </w:pPr>
      <w:r>
        <w:rPr>
          <w:b/>
          <w:bCs/>
          <w:sz w:val="22"/>
          <w:szCs w:val="22"/>
        </w:rPr>
        <w:t xml:space="preserve">Implantar la gestión de la disponibilidad y la continuidad: </w:t>
      </w:r>
      <w:r>
        <w:rPr>
          <w:sz w:val="22"/>
          <w:szCs w:val="22"/>
        </w:rPr>
        <w:t xml:space="preserve">diseñar redundancia para los servicios críticos y un plan de continuidad ante desastres (tormentas, en el caso de la isla), con pruebas periódicas.</w:t>
      </w:r>
    </w:p>
    <w:p>
      <w:pPr>
        <w:pStyle w:val="ListParagraph"/>
        <w:numPr>
          <w:ilvl w:val="0"/>
          <w:numId w:val="2"/>
        </w:numPr>
        <w:spacing w:after="100" w:line="300"/>
        <w:jc w:val="both"/>
      </w:pPr>
      <w:r>
        <w:rPr>
          <w:b/>
          <w:bCs/>
          <w:sz w:val="22"/>
          <w:szCs w:val="22"/>
        </w:rPr>
        <w:t xml:space="preserve">Regla de diseño para el futuro: </w:t>
      </w:r>
      <w:r>
        <w:rPr>
          <w:sz w:val="22"/>
          <w:szCs w:val="22"/>
        </w:rPr>
        <w:t xml:space="preserve">todo servicio nuevo nace con sus requisitos de capacidad, disponibilidad, seguridad y soporte definidos desde el diseño; nada pasa a producción sin ellos.</w:t>
      </w:r>
    </w:p>
    <w:p>
      <w:pPr>
        <w:pStyle w:val="Heading2"/>
        <w:spacing w:after="160" w:before="280"/>
      </w:pPr>
      <w:r>
        <w:rPr>
          <w:b/>
          <w:bCs/>
          <w:color w:val="1F4E79"/>
          <w:sz w:val="25"/>
          <w:szCs w:val="25"/>
        </w:rPr>
        <w:t xml:space="preserve">3.3. Transición del Servicio: cambios sin catástrofes</w:t>
      </w:r>
    </w:p>
    <w:p>
      <w:pPr>
        <w:pStyle w:val="ListParagraph"/>
        <w:numPr>
          <w:ilvl w:val="0"/>
          <w:numId w:val="2"/>
        </w:numPr>
        <w:spacing w:after="100" w:line="300"/>
        <w:jc w:val="both"/>
      </w:pPr>
      <w:r>
        <w:rPr>
          <w:b/>
          <w:bCs/>
          <w:sz w:val="22"/>
          <w:szCs w:val="22"/>
        </w:rPr>
        <w:t xml:space="preserve">Implantar la gestión de cambios: </w:t>
      </w:r>
      <w:r>
        <w:rPr>
          <w:sz w:val="22"/>
          <w:szCs w:val="22"/>
        </w:rPr>
        <w:t xml:space="preserve">todo cambio se solicita mediante una petición formal (RFC) que registra qué se cambia, por qué, su riesgo, su plan de pruebas y su plan de marcha atrás. Un Comité de Cambios (CAB) evalúa y aprueba los cambios significativos con un calendario publicado; los cambios estándar de bajo riesgo se preaprueban para no burocratizar, y los de emergencia siguen una vía rápida definida.</w:t>
      </w:r>
    </w:p>
    <w:p>
      <w:pPr>
        <w:pStyle w:val="ListParagraph"/>
        <w:numPr>
          <w:ilvl w:val="0"/>
          <w:numId w:val="2"/>
        </w:numPr>
        <w:spacing w:after="100" w:line="300"/>
        <w:jc w:val="both"/>
      </w:pPr>
      <w:r>
        <w:rPr>
          <w:b/>
          <w:bCs/>
          <w:sz w:val="22"/>
          <w:szCs w:val="22"/>
        </w:rPr>
        <w:t xml:space="preserve">Crear la CMDB (base de datos de la configuración): </w:t>
      </w:r>
      <w:r>
        <w:rPr>
          <w:sz w:val="22"/>
          <w:szCs w:val="22"/>
        </w:rPr>
        <w:t xml:space="preserve">inventario de los componentes de TI y sus relaciones (qué servidor sostiene qué servicio). Es lo que permite evaluar el impacto real de un cambio antes de hacerlo.</w:t>
      </w:r>
    </w:p>
    <w:p>
      <w:pPr>
        <w:pStyle w:val="ListParagraph"/>
        <w:numPr>
          <w:ilvl w:val="0"/>
          <w:numId w:val="2"/>
        </w:numPr>
        <w:spacing w:after="100" w:line="300"/>
        <w:jc w:val="both"/>
      </w:pPr>
      <w:r>
        <w:rPr>
          <w:b/>
          <w:bCs/>
          <w:sz w:val="22"/>
          <w:szCs w:val="22"/>
        </w:rPr>
        <w:t xml:space="preserve">Gestión de versiones y despliegues: </w:t>
      </w:r>
      <w:r>
        <w:rPr>
          <w:sz w:val="22"/>
          <w:szCs w:val="22"/>
        </w:rPr>
        <w:t xml:space="preserve">los cambios se agrupan, se prueban en un entorno separado de producción y se despliegan en ventanas acordadas de bajo impacto.</w:t>
      </w:r>
    </w:p>
    <w:p>
      <w:pPr>
        <w:pStyle w:val="ListParagraph"/>
        <w:numPr>
          <w:ilvl w:val="0"/>
          <w:numId w:val="2"/>
        </w:numPr>
        <w:spacing w:after="100" w:line="300"/>
        <w:jc w:val="both"/>
      </w:pPr>
      <w:r>
        <w:rPr>
          <w:b/>
          <w:bCs/>
          <w:sz w:val="22"/>
          <w:szCs w:val="22"/>
        </w:rPr>
        <w:t xml:space="preserve">Gestión del conocimiento: </w:t>
      </w:r>
      <w:r>
        <w:rPr>
          <w:sz w:val="22"/>
          <w:szCs w:val="22"/>
        </w:rPr>
        <w:t xml:space="preserve">cada cambio, prueba y resolución queda documentado en una base de conocimiento única, atacando la falta de documentación desde la raíz.</w:t>
      </w:r>
    </w:p>
    <w:p>
      <w:r>
        <w:br w:type="page"/>
      </w:r>
    </w:p>
    <w:p>
      <w:pPr>
        <w:pStyle w:val="Heading2"/>
        <w:spacing w:after="160" w:before="280"/>
      </w:pPr>
      <w:r>
        <w:rPr>
          <w:b/>
          <w:bCs/>
          <w:color w:val="1F4E79"/>
          <w:sz w:val="25"/>
          <w:szCs w:val="25"/>
        </w:rPr>
        <w:t xml:space="preserve">3.4. Operación del Servicio: el Service Desk y la gestión de incidentes</w:t>
      </w:r>
    </w:p>
    <w:p>
      <w:pPr>
        <w:pStyle w:val="ListParagraph"/>
        <w:numPr>
          <w:ilvl w:val="0"/>
          <w:numId w:val="2"/>
        </w:numPr>
        <w:spacing w:after="100" w:line="300"/>
        <w:jc w:val="both"/>
      </w:pPr>
      <w:r>
        <w:rPr>
          <w:b/>
          <w:bCs/>
          <w:sz w:val="22"/>
          <w:szCs w:val="22"/>
        </w:rPr>
        <w:t xml:space="preserve">Establecer un Service Desk como punto único de contacto: </w:t>
      </w:r>
      <w:r>
        <w:rPr>
          <w:sz w:val="22"/>
          <w:szCs w:val="22"/>
        </w:rPr>
        <w:t xml:space="preserve">todos los usuarios de la isla canalizan sus incidencias y peticiones por un único punto (herramienta de tickets + canal de atención), que registra, clasifica y da seguimiento al 100% de los casos. Se acabaron los avisos por los pasillos que se pierden.</w:t>
      </w:r>
    </w:p>
    <w:p>
      <w:pPr>
        <w:pStyle w:val="ListParagraph"/>
        <w:numPr>
          <w:ilvl w:val="0"/>
          <w:numId w:val="2"/>
        </w:numPr>
        <w:spacing w:after="100" w:line="300"/>
        <w:jc w:val="both"/>
      </w:pPr>
      <w:r>
        <w:rPr>
          <w:b/>
          <w:bCs/>
          <w:sz w:val="22"/>
          <w:szCs w:val="22"/>
        </w:rPr>
        <w:t xml:space="preserve">Proceso formal de gestión de incidentes: </w:t>
      </w:r>
      <w:r>
        <w:rPr>
          <w:sz w:val="22"/>
          <w:szCs w:val="22"/>
        </w:rPr>
        <w:t xml:space="preserve">cada incidente se registra y se prioriza por una matriz de impacto x urgencia (P1 a P4), con tiempos objetivo de resolución por prioridad y escalado definido: primer nivel (Service Desk), segundo nivel (técnicos especialistas) y tercer nivel (expertos/proveedores). El objetivo del proceso es restaurar el servicio cuanto antes.</w:t>
      </w:r>
    </w:p>
    <w:p>
      <w:pPr>
        <w:pStyle w:val="ListParagraph"/>
        <w:numPr>
          <w:ilvl w:val="0"/>
          <w:numId w:val="2"/>
        </w:numPr>
        <w:spacing w:after="100" w:line="300"/>
        <w:jc w:val="both"/>
      </w:pPr>
      <w:r>
        <w:rPr>
          <w:b/>
          <w:bCs/>
          <w:sz w:val="22"/>
          <w:szCs w:val="22"/>
        </w:rPr>
        <w:t xml:space="preserve">Gestión de problemas: </w:t>
      </w:r>
      <w:r>
        <w:rPr>
          <w:sz w:val="22"/>
          <w:szCs w:val="22"/>
        </w:rPr>
        <w:t xml:space="preserve">los incidentes repetitivos se analizan para hallar su causa raíz y eliminarla definitivamente (con técnicas como los 5 porqués o Ishikawa), manteniendo una base de errores conocidos con soluciones temporales documentadas. Es lo que romperá el ciclo de incidentes constantes.</w:t>
      </w:r>
    </w:p>
    <w:p>
      <w:pPr>
        <w:pStyle w:val="ListParagraph"/>
        <w:numPr>
          <w:ilvl w:val="0"/>
          <w:numId w:val="2"/>
        </w:numPr>
        <w:spacing w:after="100" w:line="300"/>
        <w:jc w:val="both"/>
      </w:pPr>
      <w:r>
        <w:rPr>
          <w:b/>
          <w:bCs/>
          <w:sz w:val="22"/>
          <w:szCs w:val="22"/>
        </w:rPr>
        <w:t xml:space="preserve">Gestión de eventos y monitorización: </w:t>
      </w:r>
      <w:r>
        <w:rPr>
          <w:sz w:val="22"/>
          <w:szCs w:val="22"/>
        </w:rPr>
        <w:t xml:space="preserve">sensores y alertas automáticas sobre los sistemas críticos para detectar anomalías antes de que se conviertan en interrupciones: pasar de reaccionar a anticipar.</w:t>
      </w:r>
    </w:p>
    <w:p>
      <w:pPr>
        <w:pStyle w:val="ListParagraph"/>
        <w:numPr>
          <w:ilvl w:val="0"/>
          <w:numId w:val="2"/>
        </w:numPr>
        <w:spacing w:after="100" w:line="300"/>
        <w:jc w:val="both"/>
      </w:pPr>
      <w:r>
        <w:rPr>
          <w:b/>
          <w:bCs/>
          <w:sz w:val="22"/>
          <w:szCs w:val="22"/>
        </w:rPr>
        <w:t xml:space="preserve">Gestión de peticiones y accesos: </w:t>
      </w:r>
      <w:r>
        <w:rPr>
          <w:sz w:val="22"/>
          <w:szCs w:val="22"/>
        </w:rPr>
        <w:t xml:space="preserve">separar las peticiones rutinarias (altas de usuario, instalaciones) de los incidentes, con flujos sencillos y automatizables.</w:t>
      </w:r>
    </w:p>
    <w:p>
      <w:pPr>
        <w:pStyle w:val="Heading2"/>
        <w:spacing w:after="160" w:before="280"/>
      </w:pPr>
      <w:r>
        <w:rPr>
          <w:b/>
          <w:bCs/>
          <w:color w:val="1F4E79"/>
          <w:sz w:val="25"/>
          <w:szCs w:val="25"/>
        </w:rPr>
        <w:t xml:space="preserve">3.5. Mejora Continua del Servicio: el ciclo de retroalimentación</w:t>
      </w:r>
    </w:p>
    <w:p>
      <w:pPr>
        <w:pStyle w:val="ListParagraph"/>
        <w:numPr>
          <w:ilvl w:val="0"/>
          <w:numId w:val="2"/>
        </w:numPr>
        <w:spacing w:after="100" w:line="300"/>
        <w:jc w:val="both"/>
      </w:pPr>
      <w:r>
        <w:rPr>
          <w:b/>
          <w:bCs/>
          <w:sz w:val="22"/>
          <w:szCs w:val="22"/>
        </w:rPr>
        <w:t xml:space="preserve">Definir KPIs y cuadro de mando: </w:t>
      </w:r>
      <w:r>
        <w:rPr>
          <w:sz w:val="22"/>
          <w:szCs w:val="22"/>
        </w:rPr>
        <w:t xml:space="preserve">métricas por servicio y proceso: número de incidentes, tiempo medio de resolución (MTTR), porcentaje de cambios exitosos, cumplimiento de SLA, disponibilidad y satisfacción del usuario (CSAT tras cada ticket y encuesta trimestral).</w:t>
      </w:r>
    </w:p>
    <w:p>
      <w:pPr>
        <w:pStyle w:val="ListParagraph"/>
        <w:numPr>
          <w:ilvl w:val="0"/>
          <w:numId w:val="2"/>
        </w:numPr>
        <w:spacing w:after="100" w:line="300"/>
        <w:jc w:val="both"/>
      </w:pPr>
      <w:r>
        <w:rPr>
          <w:b/>
          <w:bCs/>
          <w:sz w:val="22"/>
          <w:szCs w:val="22"/>
        </w:rPr>
        <w:t xml:space="preserve">Revisión mensual del servicio: </w:t>
      </w:r>
      <w:r>
        <w:rPr>
          <w:sz w:val="22"/>
          <w:szCs w:val="22"/>
        </w:rPr>
        <w:t xml:space="preserve">reunión con el negocio para revisar el cuadro de mando, los incumplimientos de SLA y las quejas, y decidir acciones de mejora priorizadas en un registro de mejora continua (CSI register).</w:t>
      </w:r>
    </w:p>
    <w:p>
      <w:pPr>
        <w:pStyle w:val="ListParagraph"/>
        <w:numPr>
          <w:ilvl w:val="0"/>
          <w:numId w:val="2"/>
        </w:numPr>
        <w:spacing w:after="100" w:line="300"/>
        <w:jc w:val="both"/>
      </w:pPr>
      <w:r>
        <w:rPr>
          <w:b/>
          <w:bCs/>
          <w:sz w:val="22"/>
          <w:szCs w:val="22"/>
        </w:rPr>
        <w:t xml:space="preserve">Aplicar el ciclo de mejora en 7 pasos / PDCA: </w:t>
      </w:r>
      <w:r>
        <w:rPr>
          <w:sz w:val="22"/>
          <w:szCs w:val="22"/>
        </w:rPr>
        <w:t xml:space="preserve">identificar qué mejorar, definir qué medir, recoger y procesar los datos, analizarlos, presentar la información y aplicar la mejora, verificando después su efecto. Cada mejora aplicada se documenta y se estandariza.</w:t>
      </w:r>
    </w:p>
    <w:p>
      <w:pPr>
        <w:pStyle w:val="ListParagraph"/>
        <w:numPr>
          <w:ilvl w:val="0"/>
          <w:numId w:val="2"/>
        </w:numPr>
        <w:spacing w:after="100" w:line="300"/>
        <w:jc w:val="both"/>
      </w:pPr>
      <w:r>
        <w:rPr>
          <w:b/>
          <w:bCs/>
          <w:sz w:val="22"/>
          <w:szCs w:val="22"/>
        </w:rPr>
        <w:t xml:space="preserve">Retroalimentación de los usuarios: </w:t>
      </w:r>
      <w:r>
        <w:rPr>
          <w:sz w:val="22"/>
          <w:szCs w:val="22"/>
        </w:rPr>
        <w:t xml:space="preserve">la voz de la isla entra en el ciclo: encuestas, buzón de sugerencias del Service Desk y revisión de las causas de insatisfacción, cerrando el círculo que hoy está roto.</w:t>
      </w:r>
    </w:p>
    <w:p>
      <w:pPr>
        <w:pStyle w:val="Heading1"/>
        <w:spacing w:after="200" w:before="360"/>
      </w:pPr>
      <w:r>
        <w:rPr>
          <w:b/>
          <w:bCs/>
          <w:color w:val="1F4E79"/>
          <w:sz w:val="30"/>
          <w:szCs w:val="30"/>
        </w:rPr>
        <w:t xml:space="preserve">4. Herramientas para la gestión de servicios</w:t>
      </w:r>
    </w:p>
    <w:p>
      <w:pPr>
        <w:spacing w:after="160" w:line="300"/>
        <w:jc w:val="both"/>
      </w:pPr>
      <w:r>
        <w:rPr>
          <w:sz w:val="22"/>
          <w:szCs w:val="22"/>
        </w:rPr>
        <w:t xml:space="preserve">El plan se apoya en las categorías de herramientas vistas en el curso. Se proponen opciones concretas, priorizando soluciones asequibles para empezar:</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600"/>
        <w:gridCol w:w="3300"/>
        <w:gridCol w:w="3100"/>
      </w:tblGrid>
      <w:tr>
        <w:trPr>
          <w:tblHeader/>
        </w:trPr>
        <w:tc>
          <w:tcPr>
            <w:tcW w:type="dxa" w:w="2600"/>
            <w:shd w:fill="DCE9F5" w:val="clear"/>
            <w:tcMar>
              <w:top w:type="dxa" w:w="80"/>
              <w:left w:type="dxa" w:w="120"/>
              <w:bottom w:type="dxa" w:w="80"/>
              <w:right w:type="dxa" w:w="120"/>
            </w:tcMar>
          </w:tcPr>
          <w:p>
            <w:pPr>
              <w:spacing w:after="0"/>
              <w:jc w:val="center"/>
            </w:pPr>
            <w:r>
              <w:rPr>
                <w:b/>
                <w:bCs/>
                <w:sz w:val="20"/>
                <w:szCs w:val="20"/>
              </w:rPr>
              <w:t xml:space="preserve">Categoría</w:t>
            </w:r>
          </w:p>
        </w:tc>
        <w:tc>
          <w:tcPr>
            <w:tcW w:type="dxa" w:w="3300"/>
            <w:shd w:fill="DCE9F5" w:val="clear"/>
            <w:tcMar>
              <w:top w:type="dxa" w:w="80"/>
              <w:left w:type="dxa" w:w="120"/>
              <w:bottom w:type="dxa" w:w="80"/>
              <w:right w:type="dxa" w:w="120"/>
            </w:tcMar>
          </w:tcPr>
          <w:p>
            <w:pPr>
              <w:spacing w:after="0"/>
              <w:jc w:val="center"/>
            </w:pPr>
            <w:r>
              <w:rPr>
                <w:b/>
                <w:bCs/>
                <w:sz w:val="20"/>
                <w:szCs w:val="20"/>
              </w:rPr>
              <w:t xml:space="preserve">Para qué se usa en el plan</w:t>
            </w:r>
          </w:p>
        </w:tc>
        <w:tc>
          <w:tcPr>
            <w:tcW w:type="dxa" w:w="3100"/>
            <w:shd w:fill="DCE9F5" w:val="clear"/>
            <w:tcMar>
              <w:top w:type="dxa" w:w="80"/>
              <w:left w:type="dxa" w:w="120"/>
              <w:bottom w:type="dxa" w:w="80"/>
              <w:right w:type="dxa" w:w="120"/>
            </w:tcMar>
          </w:tcPr>
          <w:p>
            <w:pPr>
              <w:spacing w:after="0"/>
              <w:jc w:val="center"/>
            </w:pPr>
            <w:r>
              <w:rPr>
                <w:b/>
                <w:bCs/>
                <w:sz w:val="20"/>
                <w:szCs w:val="20"/>
              </w:rPr>
              <w:t xml:space="preserve">Ejemplos de herramientas</w:t>
            </w:r>
          </w:p>
        </w:tc>
      </w:tr>
      <w:tr>
        <w:tc>
          <w:tcPr>
            <w:tcW w:type="dxa" w:w="2600"/>
            <w:tcMar>
              <w:top w:type="dxa" w:w="80"/>
              <w:left w:type="dxa" w:w="120"/>
              <w:bottom w:type="dxa" w:w="80"/>
              <w:right w:type="dxa" w:w="120"/>
            </w:tcMar>
          </w:tcPr>
          <w:p>
            <w:pPr>
              <w:spacing w:after="0"/>
              <w:jc w:val="left"/>
            </w:pPr>
            <w:r>
              <w:rPr>
                <w:b w:val="false"/>
                <w:bCs w:val="false"/>
                <w:sz w:val="20"/>
                <w:szCs w:val="20"/>
              </w:rPr>
              <w:t xml:space="preserve">Gestión de servicios (ITSM)</w:t>
            </w:r>
          </w:p>
        </w:tc>
        <w:tc>
          <w:tcPr>
            <w:tcW w:type="dxa" w:w="3300"/>
            <w:tcMar>
              <w:top w:type="dxa" w:w="80"/>
              <w:left w:type="dxa" w:w="120"/>
              <w:bottom w:type="dxa" w:w="80"/>
              <w:right w:type="dxa" w:w="120"/>
            </w:tcMar>
          </w:tcPr>
          <w:p>
            <w:pPr>
              <w:spacing w:after="0"/>
              <w:jc w:val="left"/>
            </w:pPr>
            <w:r>
              <w:rPr>
                <w:b w:val="false"/>
                <w:bCs w:val="false"/>
                <w:sz w:val="20"/>
                <w:szCs w:val="20"/>
              </w:rPr>
              <w:t xml:space="preserve">Service Desk, tickets de incidentes, peticiones, cambios (RFC/CAB), catálogo de servicios, CMDB y base de conocimiento</w:t>
            </w:r>
          </w:p>
        </w:tc>
        <w:tc>
          <w:tcPr>
            <w:tcW w:type="dxa" w:w="3100"/>
            <w:tcMar>
              <w:top w:type="dxa" w:w="80"/>
              <w:left w:type="dxa" w:w="120"/>
              <w:bottom w:type="dxa" w:w="80"/>
              <w:right w:type="dxa" w:w="120"/>
            </w:tcMar>
          </w:tcPr>
          <w:p>
            <w:pPr>
              <w:spacing w:after="0"/>
              <w:jc w:val="left"/>
            </w:pPr>
            <w:r>
              <w:rPr>
                <w:b w:val="false"/>
                <w:bCs w:val="false"/>
                <w:sz w:val="20"/>
                <w:szCs w:val="20"/>
              </w:rPr>
              <w:t xml:space="preserve">Jira Service Management, ServiceNow, GLPI o Freshservice (empezar con GLPI, gratuita)</w:t>
            </w:r>
          </w:p>
        </w:tc>
      </w:tr>
      <w:tr>
        <w:tc>
          <w:tcPr>
            <w:tcW w:type="dxa" w:w="2600"/>
            <w:shd w:fill="F2F2F2" w:val="clear"/>
            <w:tcMar>
              <w:top w:type="dxa" w:w="80"/>
              <w:left w:type="dxa" w:w="120"/>
              <w:bottom w:type="dxa" w:w="80"/>
              <w:right w:type="dxa" w:w="120"/>
            </w:tcMar>
          </w:tcPr>
          <w:p>
            <w:pPr>
              <w:spacing w:after="0"/>
              <w:jc w:val="left"/>
            </w:pPr>
            <w:r>
              <w:rPr>
                <w:b w:val="false"/>
                <w:bCs w:val="false"/>
                <w:sz w:val="20"/>
                <w:szCs w:val="20"/>
              </w:rPr>
              <w:t xml:space="preserve">Monitorización de eventos</w:t>
            </w:r>
          </w:p>
        </w:tc>
        <w:tc>
          <w:tcPr>
            <w:tcW w:type="dxa" w:w="3300"/>
            <w:shd w:fill="F2F2F2" w:val="clear"/>
            <w:tcMar>
              <w:top w:type="dxa" w:w="80"/>
              <w:left w:type="dxa" w:w="120"/>
              <w:bottom w:type="dxa" w:w="80"/>
              <w:right w:type="dxa" w:w="120"/>
            </w:tcMar>
          </w:tcPr>
          <w:p>
            <w:pPr>
              <w:spacing w:after="0"/>
              <w:jc w:val="left"/>
            </w:pPr>
            <w:r>
              <w:rPr>
                <w:b w:val="false"/>
                <w:bCs w:val="false"/>
                <w:sz w:val="20"/>
                <w:szCs w:val="20"/>
              </w:rPr>
              <w:t xml:space="preserve">Vigilancia automática de servidores, red y servicios críticos; alertas tempranas para la gestión de eventos</w:t>
            </w:r>
          </w:p>
        </w:tc>
        <w:tc>
          <w:tcPr>
            <w:tcW w:type="dxa" w:w="3100"/>
            <w:shd w:fill="F2F2F2" w:val="clear"/>
            <w:tcMar>
              <w:top w:type="dxa" w:w="80"/>
              <w:left w:type="dxa" w:w="120"/>
              <w:bottom w:type="dxa" w:w="80"/>
              <w:right w:type="dxa" w:w="120"/>
            </w:tcMar>
          </w:tcPr>
          <w:p>
            <w:pPr>
              <w:spacing w:after="0"/>
              <w:jc w:val="left"/>
            </w:pPr>
            <w:r>
              <w:rPr>
                <w:b w:val="false"/>
                <w:bCs w:val="false"/>
                <w:sz w:val="20"/>
                <w:szCs w:val="20"/>
              </w:rPr>
              <w:t xml:space="preserve">Zabbix, Nagios o PRTG</w:t>
            </w:r>
          </w:p>
        </w:tc>
      </w:tr>
      <w:tr>
        <w:tc>
          <w:tcPr>
            <w:tcW w:type="dxa" w:w="2600"/>
            <w:tcMar>
              <w:top w:type="dxa" w:w="80"/>
              <w:left w:type="dxa" w:w="120"/>
              <w:bottom w:type="dxa" w:w="80"/>
              <w:right w:type="dxa" w:w="120"/>
            </w:tcMar>
          </w:tcPr>
          <w:p>
            <w:pPr>
              <w:spacing w:after="0"/>
              <w:jc w:val="left"/>
            </w:pPr>
            <w:r>
              <w:rPr>
                <w:b w:val="false"/>
                <w:bCs w:val="false"/>
                <w:sz w:val="20"/>
                <w:szCs w:val="20"/>
              </w:rPr>
              <w:t xml:space="preserve">Automatización de procesos</w:t>
            </w:r>
          </w:p>
        </w:tc>
        <w:tc>
          <w:tcPr>
            <w:tcW w:type="dxa" w:w="3300"/>
            <w:tcMar>
              <w:top w:type="dxa" w:w="80"/>
              <w:left w:type="dxa" w:w="120"/>
              <w:bottom w:type="dxa" w:w="80"/>
              <w:right w:type="dxa" w:w="120"/>
            </w:tcMar>
          </w:tcPr>
          <w:p>
            <w:pPr>
              <w:spacing w:after="0"/>
              <w:jc w:val="left"/>
            </w:pPr>
            <w:r>
              <w:rPr>
                <w:b w:val="false"/>
                <w:bCs w:val="false"/>
                <w:sz w:val="20"/>
                <w:szCs w:val="20"/>
              </w:rPr>
              <w:t xml:space="preserve">Despliegues repetibles y sin errores manuales, altas de usuarios, tareas rutinarias del Service Desk</w:t>
            </w:r>
          </w:p>
        </w:tc>
        <w:tc>
          <w:tcPr>
            <w:tcW w:type="dxa" w:w="3100"/>
            <w:tcMar>
              <w:top w:type="dxa" w:w="80"/>
              <w:left w:type="dxa" w:w="120"/>
              <w:bottom w:type="dxa" w:w="80"/>
              <w:right w:type="dxa" w:w="120"/>
            </w:tcMar>
          </w:tcPr>
          <w:p>
            <w:pPr>
              <w:spacing w:after="0"/>
              <w:jc w:val="left"/>
            </w:pPr>
            <w:r>
              <w:rPr>
                <w:b w:val="false"/>
                <w:bCs w:val="false"/>
                <w:sz w:val="20"/>
                <w:szCs w:val="20"/>
              </w:rPr>
              <w:t xml:space="preserve">Ansible para infraestructura; flujos de la propia herramienta ITSM para peticiones</w:t>
            </w:r>
          </w:p>
        </w:tc>
      </w:tr>
      <w:tr>
        <w:tc>
          <w:tcPr>
            <w:tcW w:type="dxa" w:w="2600"/>
            <w:shd w:fill="F2F2F2" w:val="clear"/>
            <w:tcMar>
              <w:top w:type="dxa" w:w="80"/>
              <w:left w:type="dxa" w:w="120"/>
              <w:bottom w:type="dxa" w:w="80"/>
              <w:right w:type="dxa" w:w="120"/>
            </w:tcMar>
          </w:tcPr>
          <w:p>
            <w:pPr>
              <w:spacing w:after="0"/>
              <w:jc w:val="left"/>
            </w:pPr>
            <w:r>
              <w:rPr>
                <w:b w:val="false"/>
                <w:bCs w:val="false"/>
                <w:sz w:val="20"/>
                <w:szCs w:val="20"/>
              </w:rPr>
              <w:t xml:space="preserve">Análisis de datos</w:t>
            </w:r>
          </w:p>
        </w:tc>
        <w:tc>
          <w:tcPr>
            <w:tcW w:type="dxa" w:w="3300"/>
            <w:shd w:fill="F2F2F2" w:val="clear"/>
            <w:tcMar>
              <w:top w:type="dxa" w:w="80"/>
              <w:left w:type="dxa" w:w="120"/>
              <w:bottom w:type="dxa" w:w="80"/>
              <w:right w:type="dxa" w:w="120"/>
            </w:tcMar>
          </w:tcPr>
          <w:p>
            <w:pPr>
              <w:spacing w:after="0"/>
              <w:jc w:val="left"/>
            </w:pPr>
            <w:r>
              <w:rPr>
                <w:b w:val="false"/>
                <w:bCs w:val="false"/>
                <w:sz w:val="20"/>
                <w:szCs w:val="20"/>
              </w:rPr>
              <w:t xml:space="preserve">Cuadro de mando de KPIs, tendencias de incidentes, cumplimiento de SLA y satisfacción para la mejora continua</w:t>
            </w:r>
          </w:p>
        </w:tc>
        <w:tc>
          <w:tcPr>
            <w:tcW w:type="dxa" w:w="3100"/>
            <w:shd w:fill="F2F2F2" w:val="clear"/>
            <w:tcMar>
              <w:top w:type="dxa" w:w="80"/>
              <w:left w:type="dxa" w:w="120"/>
              <w:bottom w:type="dxa" w:w="80"/>
              <w:right w:type="dxa" w:w="120"/>
            </w:tcMar>
          </w:tcPr>
          <w:p>
            <w:pPr>
              <w:spacing w:after="0"/>
              <w:jc w:val="left"/>
            </w:pPr>
            <w:r>
              <w:rPr>
                <w:b w:val="false"/>
                <w:bCs w:val="false"/>
                <w:sz w:val="20"/>
                <w:szCs w:val="20"/>
              </w:rPr>
              <w:t xml:space="preserve">Power BI, Grafana o los informes nativos de la herramienta ITSM</w:t>
            </w:r>
          </w:p>
        </w:tc>
      </w:tr>
    </w:tbl>
    <w:p>
      <w:r>
        <w:br w:type="page"/>
      </w:r>
    </w:p>
    <w:p>
      <w:pPr>
        <w:pStyle w:val="Heading1"/>
        <w:spacing w:after="200" w:before="360"/>
      </w:pPr>
      <w:r>
        <w:rPr>
          <w:b/>
          <w:bCs/>
          <w:color w:val="1F4E79"/>
          <w:sz w:val="30"/>
          <w:szCs w:val="30"/>
        </w:rPr>
        <w:t xml:space="preserve">5. Hoja de ruta de implantación</w:t>
      </w:r>
    </w:p>
    <w:p>
      <w:pPr>
        <w:spacing w:after="160" w:line="300"/>
        <w:jc w:val="both"/>
      </w:pPr>
      <w:r>
        <w:rPr>
          <w:sz w:val="22"/>
          <w:szCs w:val="22"/>
        </w:rPr>
        <w:t xml:space="preserve">No todo puede hacerse a la vez: la implantación se ordena para lograr resultados visibles pronto (recuperar la confianza) mientras se construyen los cimientos. Horizonte: 12 meses en cuatro trimestres.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300"/>
        <w:gridCol w:w="4300"/>
        <w:gridCol w:w="3400"/>
      </w:tblGrid>
      <w:tr>
        <w:trPr>
          <w:tblHeader/>
        </w:trPr>
        <w:tc>
          <w:tcPr>
            <w:tcW w:type="dxa" w:w="1300"/>
            <w:shd w:fill="DCE9F5" w:val="clear"/>
            <w:tcMar>
              <w:top w:type="dxa" w:w="80"/>
              <w:left w:type="dxa" w:w="120"/>
              <w:bottom w:type="dxa" w:w="80"/>
              <w:right w:type="dxa" w:w="120"/>
            </w:tcMar>
          </w:tcPr>
          <w:p>
            <w:pPr>
              <w:spacing w:after="0"/>
              <w:jc w:val="center"/>
            </w:pPr>
            <w:r>
              <w:rPr>
                <w:b/>
                <w:bCs/>
                <w:sz w:val="20"/>
                <w:szCs w:val="20"/>
              </w:rPr>
              <w:t xml:space="preserve">Fase</w:t>
            </w:r>
          </w:p>
        </w:tc>
        <w:tc>
          <w:tcPr>
            <w:tcW w:type="dxa" w:w="4300"/>
            <w:shd w:fill="DCE9F5" w:val="clear"/>
            <w:tcMar>
              <w:top w:type="dxa" w:w="80"/>
              <w:left w:type="dxa" w:w="120"/>
              <w:bottom w:type="dxa" w:w="80"/>
              <w:right w:type="dxa" w:w="120"/>
            </w:tcMar>
          </w:tcPr>
          <w:p>
            <w:pPr>
              <w:spacing w:after="0"/>
              <w:jc w:val="center"/>
            </w:pPr>
            <w:r>
              <w:rPr>
                <w:b/>
                <w:bCs/>
                <w:sz w:val="20"/>
                <w:szCs w:val="20"/>
              </w:rPr>
              <w:t xml:space="preserve">Acciones</w:t>
            </w:r>
          </w:p>
        </w:tc>
        <w:tc>
          <w:tcPr>
            <w:tcW w:type="dxa" w:w="3400"/>
            <w:shd w:fill="DCE9F5" w:val="clear"/>
            <w:tcMar>
              <w:top w:type="dxa" w:w="80"/>
              <w:left w:type="dxa" w:w="120"/>
              <w:bottom w:type="dxa" w:w="80"/>
              <w:right w:type="dxa" w:w="120"/>
            </w:tcMar>
          </w:tcPr>
          <w:p>
            <w:pPr>
              <w:spacing w:after="0"/>
              <w:jc w:val="center"/>
            </w:pPr>
            <w:r>
              <w:rPr>
                <w:b/>
                <w:bCs/>
                <w:sz w:val="20"/>
                <w:szCs w:val="20"/>
              </w:rPr>
              <w:t xml:space="preserve">Resultado visible para la isla</w:t>
            </w:r>
          </w:p>
        </w:tc>
      </w:tr>
      <w:tr>
        <w:tc>
          <w:tcPr>
            <w:tcW w:type="dxa" w:w="1300"/>
            <w:tcMar>
              <w:top w:type="dxa" w:w="80"/>
              <w:left w:type="dxa" w:w="120"/>
              <w:bottom w:type="dxa" w:w="80"/>
              <w:right w:type="dxa" w:w="120"/>
            </w:tcMar>
          </w:tcPr>
          <w:p>
            <w:pPr>
              <w:spacing w:after="0"/>
              <w:jc w:val="left"/>
            </w:pPr>
            <w:r>
              <w:rPr>
                <w:b w:val="false"/>
                <w:bCs w:val="false"/>
                <w:sz w:val="20"/>
                <w:szCs w:val="20"/>
              </w:rPr>
              <w:t xml:space="preserve">Q1 · Estabilizar</w:t>
            </w:r>
          </w:p>
        </w:tc>
        <w:tc>
          <w:tcPr>
            <w:tcW w:type="dxa" w:w="4300"/>
            <w:tcMar>
              <w:top w:type="dxa" w:w="80"/>
              <w:left w:type="dxa" w:w="120"/>
              <w:bottom w:type="dxa" w:w="80"/>
              <w:right w:type="dxa" w:w="120"/>
            </w:tcMar>
          </w:tcPr>
          <w:p>
            <w:pPr>
              <w:spacing w:after="0"/>
              <w:jc w:val="left"/>
            </w:pPr>
            <w:r>
              <w:rPr>
                <w:b w:val="false"/>
                <w:bCs w:val="false"/>
                <w:sz w:val="20"/>
                <w:szCs w:val="20"/>
              </w:rPr>
              <w:t xml:space="preserve">Arrancar el Service Desk y la gestión de incidentes con priorización y escalado; primera versión del catálogo de servicios; monitorización básica de los 3 servicios más críticos</w:t>
            </w:r>
          </w:p>
        </w:tc>
        <w:tc>
          <w:tcPr>
            <w:tcW w:type="dxa" w:w="3400"/>
            <w:tcMar>
              <w:top w:type="dxa" w:w="80"/>
              <w:left w:type="dxa" w:w="120"/>
              <w:bottom w:type="dxa" w:w="80"/>
              <w:right w:type="dxa" w:w="120"/>
            </w:tcMar>
          </w:tcPr>
          <w:p>
            <w:pPr>
              <w:spacing w:after="0"/>
              <w:jc w:val="left"/>
            </w:pPr>
            <w:r>
              <w:rPr>
                <w:b w:val="false"/>
                <w:bCs w:val="false"/>
                <w:sz w:val="20"/>
                <w:szCs w:val="20"/>
              </w:rPr>
              <w:t xml:space="preserve">Un único lugar donde pedir ayuda; los incidentes dejan de perderse y se resuelven por orden de impacto</w:t>
            </w:r>
          </w:p>
        </w:tc>
      </w:tr>
      <w:tr>
        <w:tc>
          <w:tcPr>
            <w:tcW w:type="dxa" w:w="1300"/>
            <w:shd w:fill="F2F2F2" w:val="clear"/>
            <w:tcMar>
              <w:top w:type="dxa" w:w="80"/>
              <w:left w:type="dxa" w:w="120"/>
              <w:bottom w:type="dxa" w:w="80"/>
              <w:right w:type="dxa" w:w="120"/>
            </w:tcMar>
          </w:tcPr>
          <w:p>
            <w:pPr>
              <w:spacing w:after="0"/>
              <w:jc w:val="left"/>
            </w:pPr>
            <w:r>
              <w:rPr>
                <w:b w:val="false"/>
                <w:bCs w:val="false"/>
                <w:sz w:val="20"/>
                <w:szCs w:val="20"/>
              </w:rPr>
              <w:t xml:space="preserve">Q2 · Controlar</w:t>
            </w:r>
          </w:p>
        </w:tc>
        <w:tc>
          <w:tcPr>
            <w:tcW w:type="dxa" w:w="4300"/>
            <w:shd w:fill="F2F2F2" w:val="clear"/>
            <w:tcMar>
              <w:top w:type="dxa" w:w="80"/>
              <w:left w:type="dxa" w:w="120"/>
              <w:bottom w:type="dxa" w:w="80"/>
              <w:right w:type="dxa" w:w="120"/>
            </w:tcMar>
          </w:tcPr>
          <w:p>
            <w:pPr>
              <w:spacing w:after="0"/>
              <w:jc w:val="left"/>
            </w:pPr>
            <w:r>
              <w:rPr>
                <w:b w:val="false"/>
                <w:bCs w:val="false"/>
                <w:sz w:val="20"/>
                <w:szCs w:val="20"/>
              </w:rPr>
              <w:t xml:space="preserve">Implantar la gestión de cambios (RFC + CAB) y la CMDB inicial; base de conocimiento; gestión de peticiones separada de incidentes</w:t>
            </w:r>
          </w:p>
        </w:tc>
        <w:tc>
          <w:tcPr>
            <w:tcW w:type="dxa" w:w="3400"/>
            <w:shd w:fill="F2F2F2" w:val="clear"/>
            <w:tcMar>
              <w:top w:type="dxa" w:w="80"/>
              <w:left w:type="dxa" w:w="120"/>
              <w:bottom w:type="dxa" w:w="80"/>
              <w:right w:type="dxa" w:w="120"/>
            </w:tcMar>
          </w:tcPr>
          <w:p>
            <w:pPr>
              <w:spacing w:after="0"/>
              <w:jc w:val="left"/>
            </w:pPr>
            <w:r>
              <w:rPr>
                <w:b w:val="false"/>
                <w:bCs w:val="false"/>
                <w:sz w:val="20"/>
                <w:szCs w:val="20"/>
              </w:rPr>
              <w:t xml:space="preserve">Fin de los cambios catastróficos: todo cambio evaluado, probado y con marcha atrás</w:t>
            </w:r>
          </w:p>
        </w:tc>
      </w:tr>
      <w:tr>
        <w:tc>
          <w:tcPr>
            <w:tcW w:type="dxa" w:w="1300"/>
            <w:tcMar>
              <w:top w:type="dxa" w:w="80"/>
              <w:left w:type="dxa" w:w="120"/>
              <w:bottom w:type="dxa" w:w="80"/>
              <w:right w:type="dxa" w:w="120"/>
            </w:tcMar>
          </w:tcPr>
          <w:p>
            <w:pPr>
              <w:spacing w:after="0"/>
              <w:jc w:val="left"/>
            </w:pPr>
            <w:r>
              <w:rPr>
                <w:b w:val="false"/>
                <w:bCs w:val="false"/>
                <w:sz w:val="20"/>
                <w:szCs w:val="20"/>
              </w:rPr>
              <w:t xml:space="preserve">Q3 · Alinear y diseñar</w:t>
            </w:r>
          </w:p>
        </w:tc>
        <w:tc>
          <w:tcPr>
            <w:tcW w:type="dxa" w:w="4300"/>
            <w:tcMar>
              <w:top w:type="dxa" w:w="80"/>
              <w:left w:type="dxa" w:w="120"/>
              <w:bottom w:type="dxa" w:w="80"/>
              <w:right w:type="dxa" w:w="120"/>
            </w:tcMar>
          </w:tcPr>
          <w:p>
            <w:pPr>
              <w:spacing w:after="0"/>
              <w:jc w:val="left"/>
            </w:pPr>
            <w:r>
              <w:rPr>
                <w:b w:val="false"/>
                <w:bCs w:val="false"/>
                <w:sz w:val="20"/>
                <w:szCs w:val="20"/>
              </w:rPr>
              <w:t xml:space="preserve">Portafolio de servicios con el negocio; SLA acordados para los servicios principales; gestión de la capacidad y la disponibilidad con datos de la monitorización</w:t>
            </w:r>
          </w:p>
        </w:tc>
        <w:tc>
          <w:tcPr>
            <w:tcW w:type="dxa" w:w="3400"/>
            <w:tcMar>
              <w:top w:type="dxa" w:w="80"/>
              <w:left w:type="dxa" w:w="120"/>
              <w:bottom w:type="dxa" w:w="80"/>
              <w:right w:type="dxa" w:w="120"/>
            </w:tcMar>
          </w:tcPr>
          <w:p>
            <w:pPr>
              <w:spacing w:after="0"/>
              <w:jc w:val="left"/>
            </w:pPr>
            <w:r>
              <w:rPr>
                <w:b w:val="false"/>
                <w:bCs w:val="false"/>
                <w:sz w:val="20"/>
                <w:szCs w:val="20"/>
              </w:rPr>
              <w:t xml:space="preserve">Compromisos de servicio claros y recursos dimensionados: se acaba la sobrecarga crónica</w:t>
            </w:r>
          </w:p>
        </w:tc>
      </w:tr>
      <w:tr>
        <w:tc>
          <w:tcPr>
            <w:tcW w:type="dxa" w:w="1300"/>
            <w:shd w:fill="F2F2F2" w:val="clear"/>
            <w:tcMar>
              <w:top w:type="dxa" w:w="80"/>
              <w:left w:type="dxa" w:w="120"/>
              <w:bottom w:type="dxa" w:w="80"/>
              <w:right w:type="dxa" w:w="120"/>
            </w:tcMar>
          </w:tcPr>
          <w:p>
            <w:pPr>
              <w:spacing w:after="0"/>
              <w:jc w:val="left"/>
            </w:pPr>
            <w:r>
              <w:rPr>
                <w:b w:val="false"/>
                <w:bCs w:val="false"/>
                <w:sz w:val="20"/>
                <w:szCs w:val="20"/>
              </w:rPr>
              <w:t xml:space="preserve">Q4 · Mejorar</w:t>
            </w:r>
          </w:p>
        </w:tc>
        <w:tc>
          <w:tcPr>
            <w:tcW w:type="dxa" w:w="4300"/>
            <w:shd w:fill="F2F2F2" w:val="clear"/>
            <w:tcMar>
              <w:top w:type="dxa" w:w="80"/>
              <w:left w:type="dxa" w:w="120"/>
              <w:bottom w:type="dxa" w:w="80"/>
              <w:right w:type="dxa" w:w="120"/>
            </w:tcMar>
          </w:tcPr>
          <w:p>
            <w:pPr>
              <w:spacing w:after="0"/>
              <w:jc w:val="left"/>
            </w:pPr>
            <w:r>
              <w:rPr>
                <w:b w:val="false"/>
                <w:bCs w:val="false"/>
                <w:sz w:val="20"/>
                <w:szCs w:val="20"/>
              </w:rPr>
              <w:t xml:space="preserve">Gestión de problemas a pleno rendimiento; cuadro de mando de KPIs y encuestas de satisfacción; primera revisión anual y ciclo PDCA en marcha</w:t>
            </w:r>
          </w:p>
        </w:tc>
        <w:tc>
          <w:tcPr>
            <w:tcW w:type="dxa" w:w="3400"/>
            <w:shd w:fill="F2F2F2" w:val="clear"/>
            <w:tcMar>
              <w:top w:type="dxa" w:w="80"/>
              <w:left w:type="dxa" w:w="120"/>
              <w:bottom w:type="dxa" w:w="80"/>
              <w:right w:type="dxa" w:w="120"/>
            </w:tcMar>
          </w:tcPr>
          <w:p>
            <w:pPr>
              <w:spacing w:after="0"/>
              <w:jc w:val="left"/>
            </w:pPr>
            <w:r>
              <w:rPr>
                <w:b w:val="false"/>
                <w:bCs w:val="false"/>
                <w:sz w:val="20"/>
                <w:szCs w:val="20"/>
              </w:rPr>
              <w:t xml:space="preserve">Menos incidentes repetidos, datos que demuestran la mejora y usuarios que vuelven a confiar</w:t>
            </w:r>
          </w:p>
        </w:tc>
      </w:tr>
    </w:tbl>
    <w:p>
      <w:pPr>
        <w:pStyle w:val="Heading1"/>
        <w:spacing w:after="200" w:before="360"/>
      </w:pPr>
      <w:r>
        <w:rPr>
          <w:b/>
          <w:bCs/>
          <w:color w:val="1F4E79"/>
          <w:sz w:val="30"/>
          <w:szCs w:val="30"/>
        </w:rPr>
        <w:t xml:space="preserve">6. Beneficios: cómo cada cambio trae estabilidad y eficiencia</w:t>
      </w:r>
    </w:p>
    <w:p>
      <w:pPr>
        <w:spacing w:after="160" w:line="300"/>
        <w:jc w:val="both"/>
      </w:pPr>
      <w:r>
        <w:rPr>
          <w:sz w:val="22"/>
          <w:szCs w:val="22"/>
        </w:rPr>
        <w:t xml:space="preserve">Ante ti, Oráculo, el compromiso medible de este plan: cada desafío queda cubierto por procesos concretos y un indicador que demostrará el avance.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400"/>
        <w:gridCol w:w="3600"/>
        <w:gridCol w:w="3000"/>
      </w:tblGrid>
      <w:tr>
        <w:trPr>
          <w:tblHeader/>
        </w:trPr>
        <w:tc>
          <w:tcPr>
            <w:tcW w:type="dxa" w:w="2400"/>
            <w:shd w:fill="DCE9F5" w:val="clear"/>
            <w:tcMar>
              <w:top w:type="dxa" w:w="80"/>
              <w:left w:type="dxa" w:w="120"/>
              <w:bottom w:type="dxa" w:w="80"/>
              <w:right w:type="dxa" w:w="120"/>
            </w:tcMar>
          </w:tcPr>
          <w:p>
            <w:pPr>
              <w:spacing w:after="0"/>
              <w:jc w:val="center"/>
            </w:pPr>
            <w:r>
              <w:rPr>
                <w:b/>
                <w:bCs/>
                <w:sz w:val="20"/>
                <w:szCs w:val="20"/>
              </w:rPr>
              <w:t xml:space="preserve">Desafío de la isla</w:t>
            </w:r>
          </w:p>
        </w:tc>
        <w:tc>
          <w:tcPr>
            <w:tcW w:type="dxa" w:w="3600"/>
            <w:shd w:fill="DCE9F5" w:val="clear"/>
            <w:tcMar>
              <w:top w:type="dxa" w:w="80"/>
              <w:left w:type="dxa" w:w="120"/>
              <w:bottom w:type="dxa" w:w="80"/>
              <w:right w:type="dxa" w:w="120"/>
            </w:tcMar>
          </w:tcPr>
          <w:p>
            <w:pPr>
              <w:spacing w:after="0"/>
              <w:jc w:val="center"/>
            </w:pPr>
            <w:r>
              <w:rPr>
                <w:b/>
                <w:bCs/>
                <w:sz w:val="20"/>
                <w:szCs w:val="20"/>
              </w:rPr>
              <w:t xml:space="preserve">Solución del plan</w:t>
            </w:r>
          </w:p>
        </w:tc>
        <w:tc>
          <w:tcPr>
            <w:tcW w:type="dxa" w:w="3000"/>
            <w:shd w:fill="DCE9F5" w:val="clear"/>
            <w:tcMar>
              <w:top w:type="dxa" w:w="80"/>
              <w:left w:type="dxa" w:w="120"/>
              <w:bottom w:type="dxa" w:w="80"/>
              <w:right w:type="dxa" w:w="120"/>
            </w:tcMar>
          </w:tcPr>
          <w:p>
            <w:pPr>
              <w:spacing w:after="0"/>
              <w:jc w:val="center"/>
            </w:pPr>
            <w:r>
              <w:rPr>
                <w:b/>
                <w:bCs/>
                <w:sz w:val="20"/>
                <w:szCs w:val="20"/>
              </w:rPr>
              <w:t xml:space="preserve">Indicador de éxito (12 meses)</w:t>
            </w:r>
          </w:p>
        </w:tc>
      </w:tr>
      <w:tr>
        <w:tc>
          <w:tcPr>
            <w:tcW w:type="dxa" w:w="2400"/>
            <w:tcMar>
              <w:top w:type="dxa" w:w="80"/>
              <w:left w:type="dxa" w:w="120"/>
              <w:bottom w:type="dxa" w:w="80"/>
              <w:right w:type="dxa" w:w="120"/>
            </w:tcMar>
          </w:tcPr>
          <w:p>
            <w:pPr>
              <w:spacing w:after="0"/>
              <w:jc w:val="left"/>
            </w:pPr>
            <w:r>
              <w:rPr>
                <w:b w:val="false"/>
                <w:bCs w:val="false"/>
                <w:sz w:val="20"/>
                <w:szCs w:val="20"/>
              </w:rPr>
              <w:t xml:space="preserve">Incidentes constantes e impredecibles</w:t>
            </w:r>
          </w:p>
        </w:tc>
        <w:tc>
          <w:tcPr>
            <w:tcW w:type="dxa" w:w="3600"/>
            <w:tcMar>
              <w:top w:type="dxa" w:w="80"/>
              <w:left w:type="dxa" w:w="120"/>
              <w:bottom w:type="dxa" w:w="80"/>
              <w:right w:type="dxa" w:w="120"/>
            </w:tcMar>
          </w:tcPr>
          <w:p>
            <w:pPr>
              <w:spacing w:after="0"/>
              <w:jc w:val="left"/>
            </w:pPr>
            <w:r>
              <w:rPr>
                <w:b w:val="false"/>
                <w:bCs w:val="false"/>
                <w:sz w:val="20"/>
                <w:szCs w:val="20"/>
              </w:rPr>
              <w:t xml:space="preserve">Service Desk + gestión de incidentes con prioridades y escalado + gestión de problemas sobre causas raíz</w:t>
            </w:r>
          </w:p>
        </w:tc>
        <w:tc>
          <w:tcPr>
            <w:tcW w:type="dxa" w:w="3000"/>
            <w:tcMar>
              <w:top w:type="dxa" w:w="80"/>
              <w:left w:type="dxa" w:w="120"/>
              <w:bottom w:type="dxa" w:w="80"/>
              <w:right w:type="dxa" w:w="120"/>
            </w:tcMar>
          </w:tcPr>
          <w:p>
            <w:pPr>
              <w:spacing w:after="0"/>
              <w:jc w:val="left"/>
            </w:pPr>
            <w:r>
              <w:rPr>
                <w:b w:val="false"/>
                <w:bCs w:val="false"/>
                <w:sz w:val="20"/>
                <w:szCs w:val="20"/>
              </w:rPr>
              <w:t xml:space="preserve">Reducir el volumen de incidentes un 40% y cumplir los tiempos de resolución en el 90% de los casos</w:t>
            </w:r>
          </w:p>
        </w:tc>
      </w:tr>
      <w:tr>
        <w:tc>
          <w:tcPr>
            <w:tcW w:type="dxa" w:w="2400"/>
            <w:shd w:fill="F2F2F2" w:val="clear"/>
            <w:tcMar>
              <w:top w:type="dxa" w:w="80"/>
              <w:left w:type="dxa" w:w="120"/>
              <w:bottom w:type="dxa" w:w="80"/>
              <w:right w:type="dxa" w:w="120"/>
            </w:tcMar>
          </w:tcPr>
          <w:p>
            <w:pPr>
              <w:spacing w:after="0"/>
              <w:jc w:val="left"/>
            </w:pPr>
            <w:r>
              <w:rPr>
                <w:b w:val="false"/>
                <w:bCs w:val="false"/>
                <w:sz w:val="20"/>
                <w:szCs w:val="20"/>
              </w:rPr>
              <w:t xml:space="preserve">Cambios catastróficos</w:t>
            </w:r>
          </w:p>
        </w:tc>
        <w:tc>
          <w:tcPr>
            <w:tcW w:type="dxa" w:w="3600"/>
            <w:shd w:fill="F2F2F2" w:val="clear"/>
            <w:tcMar>
              <w:top w:type="dxa" w:w="80"/>
              <w:left w:type="dxa" w:w="120"/>
              <w:bottom w:type="dxa" w:w="80"/>
              <w:right w:type="dxa" w:w="120"/>
            </w:tcMar>
          </w:tcPr>
          <w:p>
            <w:pPr>
              <w:spacing w:after="0"/>
              <w:jc w:val="left"/>
            </w:pPr>
            <w:r>
              <w:rPr>
                <w:b w:val="false"/>
                <w:bCs w:val="false"/>
                <w:sz w:val="20"/>
                <w:szCs w:val="20"/>
              </w:rPr>
              <w:t xml:space="preserve">Gestión de cambios con evaluación de riesgo, CAB, pruebas y marcha atrás, apoyada en la CMDB</w:t>
            </w:r>
          </w:p>
        </w:tc>
        <w:tc>
          <w:tcPr>
            <w:tcW w:type="dxa" w:w="3000"/>
            <w:shd w:fill="F2F2F2" w:val="clear"/>
            <w:tcMar>
              <w:top w:type="dxa" w:w="80"/>
              <w:left w:type="dxa" w:w="120"/>
              <w:bottom w:type="dxa" w:w="80"/>
              <w:right w:type="dxa" w:w="120"/>
            </w:tcMar>
          </w:tcPr>
          <w:p>
            <w:pPr>
              <w:spacing w:after="0"/>
              <w:jc w:val="left"/>
            </w:pPr>
            <w:r>
              <w:rPr>
                <w:b w:val="false"/>
                <w:bCs w:val="false"/>
                <w:sz w:val="20"/>
                <w:szCs w:val="20"/>
              </w:rPr>
              <w:t xml:space="preserve">Más del 95% de cambios exitosos; cero interrupciones graves causadas por cambios en el último trimestre</w:t>
            </w:r>
          </w:p>
        </w:tc>
      </w:tr>
      <w:tr>
        <w:tc>
          <w:tcPr>
            <w:tcW w:type="dxa" w:w="2400"/>
            <w:tcMar>
              <w:top w:type="dxa" w:w="80"/>
              <w:left w:type="dxa" w:w="120"/>
              <w:bottom w:type="dxa" w:w="80"/>
              <w:right w:type="dxa" w:w="120"/>
            </w:tcMar>
          </w:tcPr>
          <w:p>
            <w:pPr>
              <w:spacing w:after="0"/>
              <w:jc w:val="left"/>
            </w:pPr>
            <w:r>
              <w:rPr>
                <w:b w:val="false"/>
                <w:bCs w:val="false"/>
                <w:sz w:val="20"/>
                <w:szCs w:val="20"/>
              </w:rPr>
              <w:t xml:space="preserve">Recursos sobrecargados</w:t>
            </w:r>
          </w:p>
        </w:tc>
        <w:tc>
          <w:tcPr>
            <w:tcW w:type="dxa" w:w="3600"/>
            <w:tcMar>
              <w:top w:type="dxa" w:w="80"/>
              <w:left w:type="dxa" w:w="120"/>
              <w:bottom w:type="dxa" w:w="80"/>
              <w:right w:type="dxa" w:w="120"/>
            </w:tcMar>
          </w:tcPr>
          <w:p>
            <w:pPr>
              <w:spacing w:after="0"/>
              <w:jc w:val="left"/>
            </w:pPr>
            <w:r>
              <w:rPr>
                <w:b w:val="false"/>
                <w:bCs w:val="false"/>
                <w:sz w:val="20"/>
                <w:szCs w:val="20"/>
              </w:rPr>
              <w:t xml:space="preserve">Gestión de la capacidad con monitorización y planificación de la demanda</w:t>
            </w:r>
          </w:p>
        </w:tc>
        <w:tc>
          <w:tcPr>
            <w:tcW w:type="dxa" w:w="3000"/>
            <w:tcMar>
              <w:top w:type="dxa" w:w="80"/>
              <w:left w:type="dxa" w:w="120"/>
              <w:bottom w:type="dxa" w:w="80"/>
              <w:right w:type="dxa" w:w="120"/>
            </w:tcMar>
          </w:tcPr>
          <w:p>
            <w:pPr>
              <w:spacing w:after="0"/>
              <w:jc w:val="left"/>
            </w:pPr>
            <w:r>
              <w:rPr>
                <w:b w:val="false"/>
                <w:bCs w:val="false"/>
                <w:sz w:val="20"/>
                <w:szCs w:val="20"/>
              </w:rPr>
              <w:t xml:space="preserve">Ningún servicio crítico por encima del 80% de utilización sostenida; plan de capacidad anual aprobado</w:t>
            </w:r>
          </w:p>
        </w:tc>
      </w:tr>
      <w:tr>
        <w:tc>
          <w:tcPr>
            <w:tcW w:type="dxa" w:w="2400"/>
            <w:shd w:fill="F2F2F2" w:val="clear"/>
            <w:tcMar>
              <w:top w:type="dxa" w:w="80"/>
              <w:left w:type="dxa" w:w="120"/>
              <w:bottom w:type="dxa" w:w="80"/>
              <w:right w:type="dxa" w:w="120"/>
            </w:tcMar>
          </w:tcPr>
          <w:p>
            <w:pPr>
              <w:spacing w:after="0"/>
              <w:jc w:val="left"/>
            </w:pPr>
            <w:r>
              <w:rPr>
                <w:b w:val="false"/>
                <w:bCs w:val="false"/>
                <w:sz w:val="20"/>
                <w:szCs w:val="20"/>
              </w:rPr>
              <w:t xml:space="preserve">Satisfacción en decadencia</w:t>
            </w:r>
          </w:p>
        </w:tc>
        <w:tc>
          <w:tcPr>
            <w:tcW w:type="dxa" w:w="3600"/>
            <w:shd w:fill="F2F2F2" w:val="clear"/>
            <w:tcMar>
              <w:top w:type="dxa" w:w="80"/>
              <w:left w:type="dxa" w:w="120"/>
              <w:bottom w:type="dxa" w:w="80"/>
              <w:right w:type="dxa" w:w="120"/>
            </w:tcMar>
          </w:tcPr>
          <w:p>
            <w:pPr>
              <w:spacing w:after="0"/>
              <w:jc w:val="left"/>
            </w:pPr>
            <w:r>
              <w:rPr>
                <w:b w:val="false"/>
                <w:bCs w:val="false"/>
                <w:sz w:val="20"/>
                <w:szCs w:val="20"/>
              </w:rPr>
              <w:t xml:space="preserve">Estrategia alineada con el negocio, SLA claros y mejora continua con la voz del usuario</w:t>
            </w:r>
          </w:p>
        </w:tc>
        <w:tc>
          <w:tcPr>
            <w:tcW w:type="dxa" w:w="3000"/>
            <w:shd w:fill="F2F2F2" w:val="clear"/>
            <w:tcMar>
              <w:top w:type="dxa" w:w="80"/>
              <w:left w:type="dxa" w:w="120"/>
              <w:bottom w:type="dxa" w:w="80"/>
              <w:right w:type="dxa" w:w="120"/>
            </w:tcMar>
          </w:tcPr>
          <w:p>
            <w:pPr>
              <w:spacing w:after="0"/>
              <w:jc w:val="left"/>
            </w:pPr>
            <w:r>
              <w:rPr>
                <w:b w:val="false"/>
                <w:bCs w:val="false"/>
                <w:sz w:val="20"/>
                <w:szCs w:val="20"/>
              </w:rPr>
              <w:t xml:space="preserve">Satisfacción (CSAT) por encima de 4/5 y cumplimiento de SLA superior al 95%</w:t>
            </w:r>
          </w:p>
        </w:tc>
      </w:tr>
      <w:tr>
        <w:tc>
          <w:tcPr>
            <w:tcW w:type="dxa" w:w="2400"/>
            <w:tcMar>
              <w:top w:type="dxa" w:w="80"/>
              <w:left w:type="dxa" w:w="120"/>
              <w:bottom w:type="dxa" w:w="80"/>
              <w:right w:type="dxa" w:w="120"/>
            </w:tcMar>
          </w:tcPr>
          <w:p>
            <w:pPr>
              <w:spacing w:after="0"/>
              <w:jc w:val="left"/>
            </w:pPr>
            <w:r>
              <w:rPr>
                <w:b w:val="false"/>
                <w:bCs w:val="false"/>
                <w:sz w:val="20"/>
                <w:szCs w:val="20"/>
              </w:rPr>
              <w:t xml:space="preserve">Falta de documentación</w:t>
            </w:r>
          </w:p>
        </w:tc>
        <w:tc>
          <w:tcPr>
            <w:tcW w:type="dxa" w:w="3600"/>
            <w:tcMar>
              <w:top w:type="dxa" w:w="80"/>
              <w:left w:type="dxa" w:w="120"/>
              <w:bottom w:type="dxa" w:w="80"/>
              <w:right w:type="dxa" w:w="120"/>
            </w:tcMar>
          </w:tcPr>
          <w:p>
            <w:pPr>
              <w:spacing w:after="0"/>
              <w:jc w:val="left"/>
            </w:pPr>
            <w:r>
              <w:rPr>
                <w:b w:val="false"/>
                <w:bCs w:val="false"/>
                <w:sz w:val="20"/>
                <w:szCs w:val="20"/>
              </w:rPr>
              <w:t xml:space="preserve">Catálogo de servicios, CMDB, base de conocimiento y procedimientos estandarizados en la herramienta ITSM</w:t>
            </w:r>
          </w:p>
        </w:tc>
        <w:tc>
          <w:tcPr>
            <w:tcW w:type="dxa" w:w="3000"/>
            <w:tcMar>
              <w:top w:type="dxa" w:w="80"/>
              <w:left w:type="dxa" w:w="120"/>
              <w:bottom w:type="dxa" w:w="80"/>
              <w:right w:type="dxa" w:w="120"/>
            </w:tcMar>
          </w:tcPr>
          <w:p>
            <w:pPr>
              <w:spacing w:after="0"/>
              <w:jc w:val="left"/>
            </w:pPr>
            <w:r>
              <w:rPr>
                <w:b w:val="false"/>
                <w:bCs w:val="false"/>
                <w:sz w:val="20"/>
                <w:szCs w:val="20"/>
              </w:rPr>
              <w:t xml:space="preserve">100% de incidentes y cambios registrados; base de conocimiento consultada en más del 60% de los tickets</w:t>
            </w:r>
          </w:p>
        </w:tc>
      </w:tr>
    </w:tbl>
    <w:p>
      <w:pPr>
        <w:pStyle w:val="Heading1"/>
        <w:spacing w:after="200" w:before="360"/>
      </w:pPr>
      <w:r>
        <w:rPr>
          <w:b/>
          <w:bCs/>
          <w:color w:val="1F4E79"/>
          <w:sz w:val="30"/>
          <w:szCs w:val="30"/>
        </w:rPr>
        <w:t xml:space="preserve">7. Cierre ante el Oráculo</w:t>
      </w:r>
    </w:p>
    <w:p>
      <w:pPr>
        <w:spacing w:after="160" w:line="300"/>
        <w:jc w:val="both"/>
      </w:pPr>
      <w:r>
        <w:rPr>
          <w:sz w:val="22"/>
          <w:szCs w:val="22"/>
        </w:rPr>
        <w:t xml:space="preserve">Oráculo de ITIL: la Isla del Caos no necesita más tecnología ni más talento, sino orden. Este plan recorre el ciclo de vida completo del servicio: una Estrategia que alinea TI con las necesidades reales de la isla, un Diseño que garantiza servicios con niveles acordados y capacidad planificada, una Transición que domestica los cambios, una Operación con un Service Desk que resuelve rápido y aprende de cada incidente, y una Mejora Continua que asegura que nada de lo anterior se estanque. La hoja de ruta entrega estabilidad visible desde el primer trimestre y una transformación completa en un año, medida con indicadores concretos. Con tu favor, la Isla del Caos pasará a merecer un nuevo nombre: la Isla del Servicio.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31" w:hanging="259"/>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2026-07-16T09:57:58.140Z</dcterms:created>
  <dcterms:modified xsi:type="dcterms:W3CDTF">2026-07-16T09:57:58.141Z</dcterms:modified>
</cp:coreProperties>
</file>

<file path=docProps/custom.xml><?xml version="1.0" encoding="utf-8"?>
<Properties xmlns="http://schemas.openxmlformats.org/officeDocument/2006/custom-properties" xmlns:vt="http://schemas.openxmlformats.org/officeDocument/2006/docPropsVTypes"/>
</file>